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9.xml" ContentType="application/vnd.openxmlformats-officedocument.wordprocessingml.header+xml"/>
  <Override PartName="/word/_rels/document.xml.rels" ContentType="application/vnd.openxmlformats-package.relationships+xml"/>
  <Override PartName="/word/header8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header12.xml" ContentType="application/vnd.openxmlformats-officedocument.wordprocessingml.header+xml"/>
  <Override PartName="/word/styles.xml" ContentType="application/vnd.openxmlformats-officedocument.wordprocessingml.styles+xml"/>
  <Override PartName="/word/header11.xml" ContentType="application/vnd.openxmlformats-officedocument.wordprocessingml.header+xml"/>
  <Override PartName="/word/media/image1.jpeg" ContentType="image/jpeg"/>
  <Override PartName="/word/header5.xml" ContentType="application/vnd.openxmlformats-officedocument.wordprocessingml.header+xml"/>
  <Override PartName="/word/header10.xml" ContentType="application/vnd.openxmlformats-officedocument.wordprocessingml.header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317" y="0"/>
                <wp:lineTo x="-317" y="20275"/>
                <wp:lineTo x="20187" y="20275"/>
                <wp:lineTo x="20187" y="0"/>
                <wp:lineTo x="-317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253"/>
      </w:tblGrid>
      <w:tr>
        <w:trPr>
          <w:trHeight w:val="234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ind w:hanging="142" w:left="142"/>
              <w:rPr>
                <w:rFonts w:ascii="Times New Roman" w:hAnsi="Times New Roman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BodyText"/>
        <w:spacing w:lineRule="auto" w:line="240"/>
        <w:jc w:val="center"/>
        <w:rPr>
          <w:rFonts w:ascii="Times New Roman" w:hAnsi="Times New Roman"/>
        </w:rPr>
      </w:pPr>
      <w:bookmarkStart w:id="1" w:name="_GoBack_Копия_1"/>
      <w:bookmarkStart w:id="2" w:name="_GoBack_Копия_1_Копия_1"/>
      <w:bookmarkEnd w:id="1"/>
      <w:bookmarkEnd w:id="2"/>
      <w:r>
        <w:rPr>
          <w:rFonts w:ascii="Times New Roman" w:hAnsi="Times New Roman"/>
          <w:b/>
          <w:sz w:val="28"/>
          <w:szCs w:val="28"/>
        </w:rPr>
        <w:t>О внесении изменений в приложение 1 к постановлению Правительства Камчатского края от 30.10.2023 № 541-П «Об утверждении Стратегии социально-экономического развития Камчатского края до 2035 года»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1. Внести в приложение 1 к постановлению Правительства Камчатского края от 30.10.2023 № 541-П «Об утверждении Стратегии социально-экономического развития Камчатского края до 2035 года» изменения согласно приложению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673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3578"/>
        <w:gridCol w:w="3544"/>
        <w:gridCol w:w="2551"/>
      </w:tblGrid>
      <w:tr>
        <w:trPr>
          <w:trHeight w:val="2220" w:hRule="atLeast"/>
        </w:trPr>
        <w:tc>
          <w:tcPr>
            <w:tcW w:w="357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Председатель Правительства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Камчатского края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</w:tc>
        <w:tc>
          <w:tcPr>
            <w:tcW w:w="354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left="-1130"/>
              <w:jc w:val="right"/>
              <w:rPr>
                <w:rFonts w:ascii="Times New Roman" w:hAnsi="Times New Roman"/>
              </w:rPr>
            </w:pPr>
            <w:bookmarkStart w:id="3" w:name="SIGNERSTAMP1"/>
            <w:r>
              <w:rPr>
                <w:rFonts w:ascii="Times New Roman" w:hAnsi="Times New Roman"/>
                <w:color w:themeColor="background1" w:val="FFFFFF"/>
                <w:sz w:val="24"/>
              </w:rPr>
              <w:t>[горизонтальный штамп подписи 1]</w:t>
            </w:r>
            <w:bookmarkEnd w:id="3"/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Ю.С. Морозова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br w:type="page"/>
      </w:r>
    </w:p>
    <w:tbl>
      <w:tblPr>
        <w:tblStyle w:val="afa"/>
        <w:tblW w:w="9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7"/>
        <w:gridCol w:w="478"/>
        <w:gridCol w:w="484"/>
        <w:gridCol w:w="3238"/>
        <w:gridCol w:w="579"/>
        <w:gridCol w:w="1999"/>
        <w:gridCol w:w="570"/>
        <w:gridCol w:w="1810"/>
      </w:tblGrid>
      <w:tr>
        <w:trPr/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9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Приложение к постановлению</w:t>
            </w:r>
          </w:p>
        </w:tc>
      </w:tr>
      <w:tr>
        <w:trPr/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9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Правительства Камчатского края</w:t>
            </w:r>
          </w:p>
        </w:tc>
      </w:tr>
      <w:tr>
        <w:trPr/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от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themeColor="background1" w:val="FFFFFF"/>
                <w:kern w:val="0"/>
                <w:sz w:val="28"/>
                <w:szCs w:val="20"/>
                <w:lang w:val="ru-RU" w:eastAsia="ru-RU" w:bidi="ar-SA"/>
              </w:rPr>
              <w:t>[R</w:t>
            </w:r>
            <w:r>
              <w:rPr>
                <w:rFonts w:eastAsia="Times New Roman" w:cs="Times New Roman" w:ascii="Times New Roman" w:hAnsi="Times New Roman"/>
                <w:color w:themeColor="background1" w:val="FFFFFF"/>
                <w:kern w:val="0"/>
                <w:sz w:val="16"/>
                <w:szCs w:val="20"/>
                <w:lang w:val="ru-RU" w:eastAsia="ru-RU" w:bidi="ar-SA"/>
              </w:rPr>
              <w:t>EGDATESTAMP]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№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themeColor="background1" w:val="FFFFFF"/>
                <w:kern w:val="0"/>
                <w:sz w:val="28"/>
                <w:szCs w:val="20"/>
                <w:lang w:val="ru-RU" w:eastAsia="ru-RU" w:bidi="ar-SA"/>
              </w:rPr>
              <w:t>[R</w:t>
            </w:r>
            <w:r>
              <w:rPr>
                <w:rFonts w:eastAsia="Times New Roman" w:cs="Times New Roman" w:ascii="Times New Roman" w:hAnsi="Times New Roman"/>
                <w:color w:themeColor="background1" w:val="FFFFFF"/>
                <w:kern w:val="0"/>
                <w:sz w:val="16"/>
                <w:szCs w:val="20"/>
                <w:lang w:val="ru-RU" w:eastAsia="ru-RU" w:bidi="ar-SA"/>
              </w:rPr>
              <w:t>EGNUMSTAMP]</w:t>
            </w:r>
            <w:bookmarkStart w:id="4" w:name="_GoBack"/>
            <w:bookmarkEnd w:id="4"/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lineRule="auto" w:line="240" w:before="0" w:after="0"/>
        <w:jc w:val="center"/>
        <w:rPr>
          <w:rFonts w:ascii="Times New Roman" w:hAnsi="Times New Roman"/>
          <w:color w:themeColor="text1" w:val="000000"/>
        </w:rPr>
      </w:pPr>
      <w:r>
        <w:rPr>
          <w:rFonts w:ascii="Times New Roman" w:hAnsi="Times New Roman"/>
          <w:color w:themeColor="text1" w:val="000000"/>
          <w:sz w:val="28"/>
          <w:szCs w:val="28"/>
        </w:rPr>
        <w:t xml:space="preserve">Изменения </w:t>
      </w:r>
    </w:p>
    <w:p>
      <w:pPr>
        <w:pStyle w:val="BodyText"/>
        <w:spacing w:lineRule="auto" w:line="240" w:before="0" w:after="0"/>
        <w:jc w:val="center"/>
        <w:rPr>
          <w:rFonts w:ascii="Times New Roman" w:hAnsi="Times New Roman"/>
          <w:color w:themeColor="text1" w:val="000000"/>
        </w:rPr>
      </w:pPr>
      <w:r>
        <w:rPr>
          <w:rFonts w:ascii="Times New Roman" w:hAnsi="Times New Roman"/>
          <w:color w:themeColor="text1" w:val="000000"/>
          <w:sz w:val="28"/>
          <w:szCs w:val="28"/>
        </w:rPr>
        <w:t xml:space="preserve">в приложение 1 к постановлению Правительства Камчатского края </w:t>
      </w:r>
    </w:p>
    <w:p>
      <w:pPr>
        <w:pStyle w:val="BodyText"/>
        <w:spacing w:lineRule="auto" w:line="240" w:before="0" w:after="0"/>
        <w:jc w:val="center"/>
        <w:rPr>
          <w:rFonts w:ascii="Times New Roman" w:hAnsi="Times New Roman"/>
          <w:color w:themeColor="text1" w:val="000000"/>
        </w:rPr>
      </w:pPr>
      <w:r>
        <w:rPr>
          <w:rFonts w:ascii="Times New Roman" w:hAnsi="Times New Roman"/>
          <w:color w:themeColor="text1" w:val="000000"/>
          <w:sz w:val="28"/>
          <w:szCs w:val="28"/>
        </w:rPr>
        <w:t>от 30.10.2023 № 541-П «Об утверждении Стратегии социально-экономического развития Камчатского края до 2035 года»</w:t>
      </w:r>
    </w:p>
    <w:p>
      <w:pPr>
        <w:pStyle w:val="BodyText"/>
        <w:spacing w:lineRule="auto" w:line="240" w:before="0" w:after="0"/>
        <w:ind w:firstLine="737"/>
        <w:jc w:val="both"/>
        <w:rPr>
          <w:rFonts w:ascii="Times New Roman" w:hAnsi="Times New Roman"/>
          <w:color w:themeColor="text1" w:val="000000"/>
          <w:sz w:val="28"/>
          <w:szCs w:val="28"/>
        </w:rPr>
      </w:pPr>
      <w:r>
        <w:rPr>
          <w:rFonts w:ascii="Times New Roman" w:hAnsi="Times New Roman"/>
          <w:color w:themeColor="text1" w:val="000000"/>
          <w:sz w:val="28"/>
          <w:szCs w:val="28"/>
        </w:rPr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1. В части 3: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1) пункт 26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«26) Концепции устойчивого развития коренных малочисленных народов Севера, Сибири и Дальнего Востока Российской Федерации на период до 2036 года, утвержденной распоряжением Правительства Российской Федерации от 08.05.2025 № 1161-р;»;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2) пункт 50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«50) Долгосрочного прогноза социально-экономического развития Камчатского края на период до 2042 года, утвержденного распоряжением Правительства Камчатского края от 15.01.2026 № 3-РП.».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2. В части 8: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1) в абзаце втором слова «44 муниципальных образования» заменить словами «31 муниципальное образование»;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2) абзац четвертый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«В состав муниципальных районов входят 17 сельских поселений.».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3. В абзаце втором части 43 цифры «75» заменить цифрами «60».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4. В таблице части 44: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1) строки 2–4 изложить в следующей редакции:</w:t>
      </w:r>
    </w:p>
    <w:p>
      <w:pPr>
        <w:pStyle w:val="BodyText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</w:t>
      </w:r>
    </w:p>
    <w:tbl>
      <w:tblPr>
        <w:tblW w:w="9615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4"/>
        <w:gridCol w:w="5486"/>
        <w:gridCol w:w="1132"/>
        <w:gridCol w:w="1124"/>
        <w:gridCol w:w="1149"/>
      </w:tblGrid>
      <w:tr>
        <w:trPr>
          <w:tblHeader w:val="true"/>
          <w:trHeight w:val="320" w:hRule="atLeast"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2.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BodyText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Инвестиции в основной капитал*, %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119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139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160</w:t>
            </w:r>
          </w:p>
        </w:tc>
      </w:tr>
      <w:tr>
        <w:trPr>
          <w:trHeight w:val="320" w:hRule="atLeast"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3.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BodyText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Реальные денежные доходы населения*, %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125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140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163</w:t>
            </w:r>
          </w:p>
        </w:tc>
      </w:tr>
      <w:tr>
        <w:trPr>
          <w:trHeight w:val="320" w:hRule="atLeast"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4.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BodyText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ВРП*, %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103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129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160</w:t>
            </w:r>
          </w:p>
        </w:tc>
      </w:tr>
    </w:tbl>
    <w:p>
      <w:pPr>
        <w:pStyle w:val="BodyText"/>
        <w:spacing w:lineRule="auto" w:line="240" w:before="0" w:after="0"/>
        <w:ind w:firstLine="709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2) строку 6 изложить в следующей редакции:</w:t>
      </w:r>
    </w:p>
    <w:p>
      <w:pPr>
        <w:pStyle w:val="BodyText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</w:t>
      </w:r>
    </w:p>
    <w:tbl>
      <w:tblPr>
        <w:tblW w:w="9645" w:type="dxa"/>
        <w:jc w:val="left"/>
        <w:tblInd w:w="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786"/>
        <w:gridCol w:w="5675"/>
        <w:gridCol w:w="1084"/>
        <w:gridCol w:w="1121"/>
        <w:gridCol w:w="979"/>
      </w:tblGrid>
      <w:tr>
        <w:trPr/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15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6.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15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Уровень образования, %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15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65,3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15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74,7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15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78,0</w:t>
            </w:r>
          </w:p>
        </w:tc>
      </w:tr>
    </w:tbl>
    <w:p>
      <w:pPr>
        <w:pStyle w:val="BodyText"/>
        <w:spacing w:lineRule="auto" w:line="240" w:before="0" w:after="0"/>
        <w:ind w:firstLine="709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3) строку 10 изложить в следующей редакции:</w:t>
      </w:r>
    </w:p>
    <w:p>
      <w:pPr>
        <w:pStyle w:val="BodyText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</w:t>
      </w:r>
    </w:p>
    <w:tbl>
      <w:tblPr>
        <w:tblW w:w="9645" w:type="dxa"/>
        <w:jc w:val="left"/>
        <w:tblInd w:w="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786"/>
        <w:gridCol w:w="5675"/>
        <w:gridCol w:w="1084"/>
        <w:gridCol w:w="1121"/>
        <w:gridCol w:w="979"/>
      </w:tblGrid>
      <w:tr>
        <w:trPr/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15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10.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15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Ожидаемая продолжительность жизни, лет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BodyText"/>
              <w:widowControl/>
              <w:suppressAutoHyphens w:val="true"/>
              <w:bidi w:val="0"/>
              <w:spacing w:lineRule="auto" w:line="240" w:before="0" w:after="0"/>
              <w:ind w:hanging="0" w:left="57" w:right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72,1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BodyText"/>
              <w:widowControl/>
              <w:suppressAutoHyphens w:val="true"/>
              <w:bidi w:val="0"/>
              <w:spacing w:lineRule="auto" w:line="240" w:before="0" w:after="0"/>
              <w:ind w:hanging="0" w:left="57" w:right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75,1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/>
              <w:suppressAutoHyphens w:val="true"/>
              <w:bidi w:val="0"/>
              <w:spacing w:lineRule="auto" w:line="240" w:before="0" w:after="0"/>
              <w:ind w:hanging="0" w:left="57" w:right="57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78,0</w:t>
            </w:r>
          </w:p>
        </w:tc>
      </w:tr>
    </w:tbl>
    <w:p>
      <w:pPr>
        <w:pStyle w:val="BodyText"/>
        <w:spacing w:lineRule="auto" w:line="240" w:before="0" w:after="0"/>
        <w:ind w:firstLine="709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»;</w:t>
      </w:r>
    </w:p>
    <w:p>
      <w:pPr>
        <w:pStyle w:val="BodyText"/>
        <w:spacing w:lineRule="auto" w:line="240" w:before="0" w:after="0"/>
        <w:ind w:firstLine="709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4) строку 11 изложить в следующей редакции:</w:t>
      </w:r>
    </w:p>
    <w:p>
      <w:pPr>
        <w:pStyle w:val="BodyText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</w:t>
      </w:r>
    </w:p>
    <w:tbl>
      <w:tblPr>
        <w:tblW w:w="9645" w:type="dxa"/>
        <w:jc w:val="left"/>
        <w:tblInd w:w="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786"/>
        <w:gridCol w:w="5675"/>
        <w:gridCol w:w="1084"/>
        <w:gridCol w:w="1121"/>
        <w:gridCol w:w="979"/>
      </w:tblGrid>
      <w:tr>
        <w:trPr/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15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11.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8"/>
                <w:shd w:fill="auto" w:val="clear"/>
              </w:rPr>
              <w:t>Общий коэффициент смертности, число умерших на 1000 чел. населения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BodyText"/>
              <w:widowControl/>
              <w:suppressAutoHyphens w:val="true"/>
              <w:bidi w:val="0"/>
              <w:spacing w:lineRule="auto" w:line="240" w:before="0" w:after="0"/>
              <w:ind w:hanging="0" w:left="57" w:right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13,0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BodyText"/>
              <w:widowControl/>
              <w:suppressAutoHyphens w:val="true"/>
              <w:bidi w:val="0"/>
              <w:spacing w:lineRule="auto" w:line="240" w:before="0" w:after="0"/>
              <w:ind w:hanging="0" w:left="57" w:right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13,0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/>
              <w:suppressAutoHyphens w:val="true"/>
              <w:bidi w:val="0"/>
              <w:spacing w:lineRule="auto" w:line="240" w:before="0" w:after="0"/>
              <w:ind w:hanging="0" w:left="57" w:right="57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11,6</w:t>
            </w:r>
          </w:p>
        </w:tc>
      </w:tr>
    </w:tbl>
    <w:p>
      <w:pPr>
        <w:pStyle w:val="BodyText"/>
        <w:spacing w:lineRule="auto" w:line="240" w:before="0" w:after="0"/>
        <w:ind w:firstLine="709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5. В абзаце втором части 45: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а) в первом предложении слово «три» заменить словом «два», слово «оптимистичный» исключить;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б) во втором предложении слова «в ценах базового 2021 года» заменить словами «в сравнении с базовым 2021 годом».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6. Часть 47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«47. Ожидаемые результаты реализации консервативного сценария к 2035 году: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1) рост ВРП в 1,3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2) рост объема инвестиций в основной капитал в 1,2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3) снижение численности занятых в экономике на 0,2 тыс. человек;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4) рост производительности труда в 1,3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5) рост объемов промышленного производства в 1,1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6) рост доли собственных доходов в бюджете края с 38,7 процента до 55 процентов;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7) сохранение численности населения на уровне 287 тыс. человек;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8) рост ожидаемой продолжительности жизни на 8,9 лет до 77 лет;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9) рост реальной заработной платы в 1,3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10) рост реальных денежных доходов в 1,5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 xml:space="preserve">11) рост отношения среднедушевых 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 xml:space="preserve">денежных 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доходов к прожиточному минимуму в 1,2 раза до значения 310 процентов;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12) сокращение доли населения с доходами ниже прожиточного минимума до 7 процентов.».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7. Часть 49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«49. Ожидаемые результаты реализации базового сценария к 2035 году: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1) рост ВРП в 1,6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2) </w:t>
      </w:r>
      <w:r>
        <w:rPr>
          <w:rFonts w:ascii="Times New Roman" w:hAnsi="Times New Roman"/>
          <w:sz w:val="28"/>
          <w:shd w:fill="auto" w:val="clear"/>
        </w:rPr>
        <w:t>рост объема инвестиций в основной капитал в 1,6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3)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sz w:val="28"/>
          <w:shd w:fill="auto" w:val="clear"/>
        </w:rPr>
        <w:t>рост численности занятых в экономике на 1,2 тыс. человек;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4)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sz w:val="28"/>
          <w:shd w:fill="auto" w:val="clear"/>
        </w:rPr>
        <w:t>рост производительности труда в 1,6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5)рост объемов промышленного производства в 1,3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6)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sz w:val="28"/>
          <w:shd w:fill="auto" w:val="clear"/>
        </w:rPr>
        <w:t>рост доли собственных доходов в бюджете края с 38,7 процента до 60 процентов;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7)</w:t>
      </w:r>
      <w:r>
        <w:rPr>
          <w:rFonts w:ascii="Times New Roman" w:hAnsi="Times New Roman"/>
          <w:b/>
          <w:bCs/>
          <w:color w:themeColor="text1"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сохранение численности населения на уровне 288 тыс. человек;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8)</w:t>
      </w:r>
      <w:r>
        <w:rPr>
          <w:rFonts w:ascii="Times New Roman" w:hAnsi="Times New Roman"/>
          <w:b/>
          <w:bCs/>
          <w:color w:themeColor="text1"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sz w:val="28"/>
          <w:shd w:fill="auto" w:val="clear"/>
        </w:rPr>
        <w:t>рост ожидаемой продолжительности жизни на 9,9 лет до 78 лет;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9)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sz w:val="28"/>
          <w:shd w:fill="auto" w:val="clear"/>
        </w:rPr>
        <w:t>рост реальной заработной платы в 1,5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10)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sz w:val="28"/>
          <w:shd w:fill="auto" w:val="clear"/>
        </w:rPr>
        <w:t>рост реальных денежных доходов в 1,6 раза;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11)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sz w:val="28"/>
          <w:shd w:fill="auto" w:val="clear"/>
        </w:rPr>
        <w:t xml:space="preserve">рост отношения среднедушевых </w:t>
      </w:r>
      <w:r>
        <w:rPr>
          <w:rFonts w:ascii="Times New Roman" w:hAnsi="Times New Roman"/>
          <w:sz w:val="28"/>
          <w:shd w:fill="auto" w:val="clear"/>
        </w:rPr>
        <w:t xml:space="preserve">денежных </w:t>
      </w:r>
      <w:r>
        <w:rPr>
          <w:rFonts w:ascii="Times New Roman" w:hAnsi="Times New Roman"/>
          <w:sz w:val="28"/>
          <w:shd w:fill="auto" w:val="clear"/>
        </w:rPr>
        <w:t>доходов к прожиточному минимуму в 1,4 раза до значения 367 процентов;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12) сокращение доли населения с доходами ниже прожиточного минимума до 6,3 процента.».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8. Части 50–51 признать утратившими силу.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 xml:space="preserve">9. В части 58 слова «Планом комплексного социально-экономического развития Петропавловск-Камчатского городского округа на период до 2030 года, утвержденным распоряжением Правительства Российской Федерации от 31.01.2023 № 193-р» заменить словами «Долгосрочным планом социально-экономического развития Петропавловск-Камчатского городского округа на период до 2030 года, утвержденным распоряжением Правительства Российской Федерации от 31.07.2023 № 2058-р». 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10. Часть 59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«Согласно долгосрочному прогнозу социально-экономического развития Камчатского края на период до 2042 года, утвержденному распоряжением Правительства Камчатского от 15.01.2026 № 3-РП, проводимая демографическая политика Камчатского края приведет к стабилизации численности населения и постепенному ее увеличению для обеспечения необходимыми трудовыми ресурсами экономики региона.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 xml:space="preserve">Меры по поддержке рождаемости, увеличению ожидаемой продолжительности жизни населения, продолжительности здоровой жизни, сокращению смертности позволят сохранить численность населения на уровне 288,0 тыс. человек к 2035 году и сгладить негативные тенденции, связанные с естественной убылью населения. 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Положительное сальдо миграции позволит стабилизировать численность постоянного населения Камчатского края и перейти к демографическому росту с 2032 года.».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11. В пункте 3 части 61 цифры «10» заменить цифрами «1,2».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12. Подпункт «г» пункта 3 части 63 признать утратившим силу.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>13. В части 75: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>1) в пункте 3 цифры «50» заменить цифрами «30»;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>2) в пункте 5 цифры «100» заменить цифрами «25».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>14. В части 76: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>1) пункт 9 исключить;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>2) пункт 14 изложить в следующей редакции: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>«14) развитие биоэкономики и создание производства продукции из отходов рыбопереработки (БАДы, биоразлагаемая упаковка);»;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>3) пункт 21 изложить в следующей редакции: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>«21) цифровизация и внедрение искусственного интеллекта в отрасли.».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15. В части 77: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1) в абзаце первом слова «АО «Блаф»,» исключить;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2) в абзаце втором слова «ООО «Город 415»,», «, «ООО «РПЗ «Сокра»,» исключить.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16. В части 79 абзац второй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 w:eastAsia="en-US" w:bidi="ar-SA"/>
        </w:rPr>
        <w:t xml:space="preserve">«По состоянию на 01.01.2022 судоремонт Камчатского края представлен 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 w:eastAsia="en-US" w:bidi="ar-SA"/>
        </w:rPr>
        <w:t>36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 w:eastAsia="en-US" w:bidi="ar-SA"/>
        </w:rPr>
        <w:t xml:space="preserve"> предприяти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 w:eastAsia="en-US" w:bidi="ar-SA"/>
        </w:rPr>
        <w:t>ями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 w:eastAsia="en-US" w:bidi="ar-SA"/>
        </w:rPr>
        <w:t>, имеющим свидетельства Российского морского регистра судоходства на выполнение судоремонтных работ. Производственная база отрасли включает плавучие доки различной грузоподъемности, причальные сооружения, корпусные, механические, электромонтажные и иные специализированные мощности. Наряду с крупными предприятиями существенную роль в отрасли играют малые и средние организации, обеспечивающие выполнение отдельных видов ремонта, технического обслуживания, изготовления и восстановления судовых деталей и оборудования. Ведущими судоремонтными предприятиями Камчатского края являются АО «СВРЦ», ООО «Рем-Нова ДВ».».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17. Часть 80 дополнить абзацем следующего содержания: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«Развитие судоремонта имеет стратегическое значение для устойчивой работы рыбохозяйственного, транспортного, портового и туристского флотов, снижения зависимости от ремонта судов за пределами Российской Федерации, сокращения межрейсовых простоев и транспортных издержек, а также формирования в Камчатском крае современной морской промышленной специализации.».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18. Части 81 и 82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en-US" w:bidi="ar-SA"/>
        </w:rPr>
        <w:t>«81. Основными ограничениями развития судоремонта в Камчатском крае являются высокий физический и моральный износ производственных фондов, недостаток современных доковых и причальных мощностей, ограниченная доступность долгосрочного финансирования, высокая стоимость доставки оборудования и материалов, зависимость от поставок отдельных видов комплектующих, дефицит инженерных и рабочих кадров, а также недостаточная кооперация предприятий. Совокупность указанных факторов увеличивает стоимость и сроки ремонта и приводит к сохранению значительного оттока заказов в другие регионы и иностранные порты.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Устойчивый рост отрасли требует комплексной модернизации производственной и портовой инфраструктуры, повышения производительности труда, внедрения современных технологий диагностики и ремонта, формирования долгосрочного портфеля заказов и развития региональной производственной кооперации.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82. Ключевыми проблемами судоремонтной отрасли являются: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1)</w:t>
      </w:r>
      <w:r>
        <w:rPr>
          <w:rFonts w:eastAsia="Times New Roman" w:cs="Times New Roman" w:ascii="Times New Roman" w:hAnsi="Times New Roman"/>
          <w:color w:themeColor="text1" w:val="00000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 </w:t>
      </w: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износ и технологическое отставание основных производственных фондов, докового, подъемно-транспортного и станочного оборудования;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2)</w:t>
      </w:r>
      <w:r>
        <w:rPr>
          <w:rFonts w:eastAsia="Times New Roman" w:cs="Times New Roman" w:ascii="Times New Roman" w:hAnsi="Times New Roman"/>
          <w:color w:themeColor="text1" w:val="00000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 </w:t>
      </w: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дефицит судоподъемных, причальных и береговых производственных мощностей для обслуживания судов различных классов и тоннажа;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3)</w:t>
      </w:r>
      <w:r>
        <w:rPr>
          <w:rFonts w:eastAsia="Times New Roman" w:cs="Times New Roman" w:ascii="Times New Roman" w:hAnsi="Times New Roman"/>
          <w:color w:themeColor="text1" w:val="00000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 </w:t>
      </w: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высокая стоимость заемного финансирования и недостаточная доступность специализированных мер поддержки модернизации;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4)</w:t>
      </w:r>
      <w:r>
        <w:rPr>
          <w:rFonts w:eastAsia="Times New Roman" w:cs="Times New Roman" w:ascii="Times New Roman" w:hAnsi="Times New Roman"/>
          <w:color w:themeColor="text1" w:val="00000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 </w:t>
      </w: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зависимость от поставок отдельных видов судового оборудования, комплектующих и материалов, высокая стоимость и длительные сроки их доставки;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5)</w:t>
      </w:r>
      <w:r>
        <w:rPr>
          <w:rFonts w:eastAsia="Times New Roman" w:cs="Times New Roman" w:ascii="Times New Roman" w:hAnsi="Times New Roman"/>
          <w:color w:themeColor="text1" w:val="00000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 </w:t>
      </w: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отсутствие устойчивой системы среднесрочного и долгосрочного планирования загрузки предприятий;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6)</w:t>
      </w:r>
      <w:r>
        <w:rPr>
          <w:rFonts w:eastAsia="Times New Roman" w:cs="Times New Roman" w:ascii="Times New Roman" w:hAnsi="Times New Roman"/>
          <w:color w:themeColor="text1" w:val="00000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 </w:t>
      </w: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недостаточный уровень специализации и кооперации между предприятиями, научными и образовательными организациями;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7)</w:t>
      </w:r>
      <w:r>
        <w:rPr>
          <w:rFonts w:eastAsia="Times New Roman" w:cs="Times New Roman" w:ascii="Times New Roman" w:hAnsi="Times New Roman"/>
          <w:color w:themeColor="text1" w:val="00000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 </w:t>
      </w: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дефицит квалифицированных рабочих, инженерно-технических специалистов и управленческих кадров;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8)</w:t>
      </w:r>
      <w:r>
        <w:rPr>
          <w:rFonts w:eastAsia="Times New Roman" w:cs="Times New Roman" w:ascii="Times New Roman" w:hAnsi="Times New Roman"/>
          <w:color w:themeColor="text1" w:val="00000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 </w:t>
      </w: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ограниченная обеспеченность работников отрасли доступным жильем и социальной инфраструктурой.»</w:t>
      </w: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shd w:fill="auto" w:val="clear"/>
          <w:lang w:val="ru-RU" w:eastAsia="ru-RU" w:bidi="ar-SA"/>
        </w:rPr>
        <w:t>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19. В абзаце втором части 83 цифры «40» заменить цифрами «100».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20. В части 102: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1) пункт 1 после слов «100 тыс. кв. м» дополнить словами «, включая СПА-комплексы»;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2) пункт 4 признать утратившим силу;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3) пункт 9 признать утратившим силу.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21. В части 114: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1) второе предложение 10 абзаца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«В частности, по состоянию на 01.01.2022 не построена асфальтовая дорога до «Соколиного центра».»;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2) абзац 12 части 114 признать утратившим силу.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22. Предложение третье части 129 исключить.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23. В абзаце втором части 130 предложение второе исключить.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24. Часть 133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«133. Модернизация объектов энергетики в изолированных энергоузлах также будет проводиться в рамках энергосервисных контрактов. Реализация проекта планируется в шести поселках: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1) п. Тиличики – солнечная электростанция мощностью 1,5 МВт, система накопления энергии мощностью 1,26 МВт, новые дизельгенераторные установки мощностью 3,2 МВт;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2) п. Оссора – солнечная электростанция 1,8 МВт, новые дизельгенераторные установки общей номинальной мощностью 6,8 МВт, а также солнечный накопитель энергии 1,26 МВт;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3) п. Ключи – солнечная электростанция мощностью 2,5 МВт, система накопления энергии мощностью 1,5 МВт, дизельные электростанции общей мощностью 7,9 МВт;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 xml:space="preserve">4) п. Козыревск – солнечная электростанция 0,5 МВт, система накопления энергии мощностью 1,2 МВт, дизельные электростанции общей мощностью </w:t>
        <w:br/>
        <w:t>2,0 МВт;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 xml:space="preserve">5) п. Палана, Манилы – прорабатываются варианты типов оборудования ВИЭ. Плановая мощность установок возобновляемой энергии составит </w:t>
        <w:br/>
        <w:t>0,89 МВт.».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25. В части 178: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1) в абзаце первом слова «на текущий день» заменить словами «в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 xml:space="preserve"> долгосрочной 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перспективе»;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2) в предложении первом абзаца второго слово «краткосрочной» исключить;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3) абзац шестнадцатый после слов «из дикоросов» дополнить словами «и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 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креативные индустрии».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26. Абзац пятый части 189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Из представленного списка наиболее приоритетными для Камчатского края являются Китай, Республика Беларусь, Вьетнам, Перу, Индия, Объединенные Арабские Эмираты, Индонезия и иные страны СНГ.».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27. В части 191: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1) пункт 1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«1) поддержка региональных предприятий-экспортеров, в том числе:</w:t>
      </w:r>
    </w:p>
    <w:p>
      <w:pPr>
        <w:pStyle w:val="Default"/>
        <w:spacing w:before="0" w:after="0"/>
        <w:ind w:firstLine="709" w:left="0" w:righ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  <w:lang w:val="ru-RU"/>
        </w:rPr>
        <w:t>а) взаимодействие с экспортерами и экспортно ориентированными предприятиями по вопросам осуществления экспортной деятельности, основных перспектив и барьеров;</w:t>
      </w:r>
    </w:p>
    <w:p>
      <w:pPr>
        <w:pStyle w:val="Default"/>
        <w:spacing w:before="0" w:after="0"/>
        <w:ind w:firstLine="709" w:left="0" w:righ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  <w:lang w:val="ru-RU"/>
        </w:rPr>
        <w:t xml:space="preserve">б) предоставление финансовых и нефинансовых мер поддержки; 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в) координация планов регионального бизнеса по развитию экспорта с учетом особенностей основных направлений экспорта;»;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2) пункт 7 после слов «продукции,» дополнить словами «информирование и организация участия», слово «участие» исключить;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3) дополнить пунктами 15–17 следующего содержания:</w:t>
      </w:r>
    </w:p>
    <w:p>
      <w:pPr>
        <w:pStyle w:val="Normal"/>
        <w:spacing w:lineRule="auto" w:line="240" w:before="0" w:after="0"/>
        <w:ind w:firstLine="708" w:lef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  <w:lang w:val="ru-RU"/>
        </w:rPr>
        <w:t>«15) кооперация с субъектами Российской Федерации в сфере поддержки экспортной деятельности; </w:t>
      </w:r>
    </w:p>
    <w:p>
      <w:pPr>
        <w:pStyle w:val="Normal"/>
        <w:spacing w:lineRule="auto" w:line="240" w:before="0" w:after="0"/>
        <w:ind w:firstLine="708" w:lef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  <w:lang w:val="ru-RU"/>
        </w:rPr>
        <w:t>16) планирование и развитие региональной транспортно-логистической инфраструктуры с учетом мероприятий по созданию и развитию инфраструктуры международных транспортно-логистических коридоров;</w:t>
      </w:r>
    </w:p>
    <w:p>
      <w:pPr>
        <w:pStyle w:val="Normal"/>
        <w:spacing w:lineRule="auto" w:line="240" w:before="0" w:after="0"/>
        <w:ind w:firstLine="708" w:lef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17) налаживание и укрепление сотрудничества Камчатского края с представительствами и административно-территориальными образованиями иностранных государств в целях продвижения экспорта товаров и услуг и формирования проектов производственной кооперации.».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28. В строке 11 таблицы части 196: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1) в графе 4 цифры «2029» заменить цифрами «2030»;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2) в графе 5 цифры «42» заменить цифрами «34».</w:t>
      </w:r>
    </w:p>
    <w:p>
      <w:pPr>
        <w:sectPr>
          <w:headerReference w:type="even" r:id="rId3"/>
          <w:headerReference w:type="default" r:id="rId4"/>
          <w:type w:val="nextPage"/>
          <w:pgSz w:w="11906" w:h="16838"/>
          <w:pgMar w:left="1418" w:right="851" w:gutter="0" w:header="1134" w:top="1191" w:footer="0" w:bottom="1134"/>
          <w:pgNumType w:fmt="decimal"/>
          <w:formProt w:val="false"/>
          <w:titlePg/>
          <w:textDirection w:val="lrTb"/>
          <w:docGrid w:type="default" w:linePitch="100" w:charSpace="12288"/>
        </w:sect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>29. Часть 197 изложить в следующей редакции:</w:t>
      </w:r>
    </w:p>
    <w:p>
      <w:pPr>
        <w:pStyle w:val="BodyText"/>
        <w:spacing w:lineRule="auto" w:line="240" w:before="0" w:after="113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 xml:space="preserve">«197. Ключевые индикаторы внешнеэкономической деятельности Камчатского края до 2035 года приведены в таблице. </w:t>
      </w:r>
    </w:p>
    <w:tbl>
      <w:tblPr>
        <w:tblW w:w="14565" w:type="dxa"/>
        <w:jc w:val="left"/>
        <w:tblInd w:w="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5"/>
        <w:gridCol w:w="5399"/>
        <w:gridCol w:w="840"/>
        <w:gridCol w:w="736"/>
        <w:gridCol w:w="795"/>
        <w:gridCol w:w="794"/>
        <w:gridCol w:w="781"/>
        <w:gridCol w:w="809"/>
        <w:gridCol w:w="736"/>
        <w:gridCol w:w="855"/>
        <w:gridCol w:w="734"/>
        <w:gridCol w:w="795"/>
        <w:gridCol w:w="795"/>
      </w:tblGrid>
      <w:tr>
        <w:trPr>
          <w:trHeight w:val="330" w:hRule="atLeast"/>
        </w:trPr>
        <w:tc>
          <w:tcPr>
            <w:tcW w:w="4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ascii="Times New Roman" w:hAnsi="Times New Roman"/>
                <w:color w:themeColor="text1" w:val="000000"/>
                <w:sz w:val="20"/>
                <w:szCs w:val="20"/>
                <w:shd w:fill="auto" w:val="clear"/>
              </w:rPr>
              <w:t xml:space="preserve">№ </w:t>
            </w:r>
            <w:r>
              <w:rPr>
                <w:rFonts w:ascii="Times New Roman" w:hAnsi="Times New Roman"/>
                <w:color w:themeColor="text1" w:val="000000"/>
                <w:sz w:val="20"/>
                <w:szCs w:val="20"/>
                <w:shd w:fill="auto" w:val="clear"/>
              </w:rPr>
              <w:t>п/п</w:t>
            </w:r>
          </w:p>
        </w:tc>
        <w:tc>
          <w:tcPr>
            <w:tcW w:w="5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Показатель</w:t>
            </w:r>
          </w:p>
        </w:tc>
        <w:tc>
          <w:tcPr>
            <w:tcW w:w="31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ru-RU"/>
              </w:rPr>
              <w:t>Базовые показатели</w:t>
            </w:r>
          </w:p>
        </w:tc>
        <w:tc>
          <w:tcPr>
            <w:tcW w:w="550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ru-RU"/>
              </w:rPr>
              <w:t>Показатели</w:t>
            </w:r>
          </w:p>
        </w:tc>
      </w:tr>
      <w:tr>
        <w:trPr>
          <w:trHeight w:val="330" w:hRule="atLeast"/>
        </w:trPr>
        <w:tc>
          <w:tcPr>
            <w:tcW w:w="49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539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2021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2022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2023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2024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2025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2026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2027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2028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2029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2035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sz w:val="6"/>
          <w:szCs w:val="6"/>
          <w:highlight w:val="none"/>
          <w:shd w:fill="auto" w:val="clear"/>
        </w:rPr>
      </w:pPr>
      <w:r>
        <w:rPr>
          <w:sz w:val="6"/>
          <w:szCs w:val="6"/>
          <w:shd w:fill="auto" w:val="clear"/>
        </w:rPr>
      </w:r>
    </w:p>
    <w:tbl>
      <w:tblPr>
        <w:tblW w:w="1456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6"/>
        <w:gridCol w:w="5419"/>
        <w:gridCol w:w="788"/>
        <w:gridCol w:w="787"/>
        <w:gridCol w:w="786"/>
        <w:gridCol w:w="788"/>
        <w:gridCol w:w="786"/>
        <w:gridCol w:w="787"/>
        <w:gridCol w:w="789"/>
        <w:gridCol w:w="785"/>
        <w:gridCol w:w="788"/>
        <w:gridCol w:w="788"/>
        <w:gridCol w:w="786"/>
      </w:tblGrid>
      <w:tr>
        <w:trPr>
          <w:trHeight w:val="708" w:hRule="atLeast"/>
          <w:cantSplit w:val="true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6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8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9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12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13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5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Внешнеторговый оборот региона (млрд долл. США)</w:t>
            </w:r>
          </w:p>
        </w:tc>
        <w:tc>
          <w:tcPr>
            <w:tcW w:w="7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themeColor="text1" w:val="000000"/>
                <w:sz w:val="20"/>
                <w:szCs w:val="20"/>
                <w:shd w:fill="auto" w:val="clear"/>
                <w:lang w:val="en-US"/>
              </w:rPr>
              <w:t>1,19</w:t>
            </w:r>
          </w:p>
        </w:tc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1,785</w:t>
            </w:r>
          </w:p>
        </w:tc>
        <w:tc>
          <w:tcPr>
            <w:tcW w:w="7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1,938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2,125</w:t>
            </w:r>
          </w:p>
        </w:tc>
        <w:tc>
          <w:tcPr>
            <w:tcW w:w="7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2,346</w:t>
            </w:r>
          </w:p>
        </w:tc>
        <w:tc>
          <w:tcPr>
            <w:tcW w:w="7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2,635</w:t>
            </w:r>
          </w:p>
        </w:tc>
        <w:tc>
          <w:tcPr>
            <w:tcW w:w="7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3,060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2.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Темп роста внешнеторгового оборота к АППГ (%)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122,69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116,44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86,18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120,82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100,85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108,57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109,65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110,40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112,32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116,13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3.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Объем экспорта товаров региона (млрд долл. США)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0,97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1,55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1,64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1,82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2,03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2,27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2,70</w:t>
            </w:r>
          </w:p>
        </w:tc>
      </w:tr>
      <w:tr>
        <w:trPr>
          <w:trHeight w:val="708" w:hRule="atLeast"/>
          <w:cantSplit w:val="true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Темп роста экспорта региона к АППГ (%)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116,19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133,10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89,27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125,09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92,54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105,81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110,98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111,54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111,82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112,50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5.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Объем экспорта несырьевых неэнергетических товаров региона (в номинальных ценах, млрд долл. США)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0,947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1,169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1,271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1,471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1,726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1,869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2,406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6.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Темп роста несырьевого неэнергетического экспорта региона к показателю 2023 года (%)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74,9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100,5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104,5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113,6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131,5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147,6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167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215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Темп роста несырьевого неэнергетического экспорта региона к АППГ (%)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110,03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74,89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134,20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103,98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108,71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115,76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117,29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108,27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128,74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8.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Объем экспорта товаров отраслей промышленности (в номинальных ценах, млрд  долл. США)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0,003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0,013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0,0145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0,0165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0,019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0,022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0,026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9.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Темп роста экспорта товаров отраслей промышленности региона к АППГ (%)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233,33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27,14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157,89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400,00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108,33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111,54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113,79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115,15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115,79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118,18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10.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ru-RU"/>
              </w:rPr>
              <w:t>Объем экспорта продукции агропромышленного комплекса региона (в номинальных ценах, млрд долл. США)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0,9447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1,0169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1,0572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1,1272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1,2172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1,2280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1,580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11.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Темп роста экспорта продукции агропромышленного комплекса региона к показателю 2021 года (%)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109,56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118,34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88,49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119,61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107,64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111,91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119,32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128,85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129,99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167,25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12.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Темп роста экспорта продукции агропромышленного комплекса региона к АППГ (%)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109,56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108,02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74,78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135,17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89,99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103,96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106,62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107,98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100,89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128,66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13.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Объем накопленных ПИИ в регионе (млрд долл. США)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0,26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0,11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0,115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0,123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0,135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0,15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0,19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14.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Темп роста накопленных ПИИ в регионе к АППГ (%)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158,85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25,42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99,05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102,88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102,80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104,55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106,96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109,76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111,11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126,67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15.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Объем накопленных ПИИ региона в странах-партнерах (млрд долл. США)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*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0,011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0,0135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0,0155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0,019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16.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Темп роста накопленных ПИИ региона в странах-партнерах к АППГ (%)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100,00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100,00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110,00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109,09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112,50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114,81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117,00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17.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Число проектов с иностранным участием в регионе (ед.)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-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3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5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18.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Количество межрегиональных кооперационных мероприятий по развитию сотрудничества со странами-партнерами (ед.)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1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1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3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en-US"/>
              </w:rPr>
              <w:t>3</w:t>
            </w:r>
          </w:p>
        </w:tc>
      </w:tr>
      <w:tr>
        <w:trPr>
          <w:trHeight w:val="708" w:hRule="atLeast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19.</w:t>
            </w:r>
          </w:p>
        </w:tc>
        <w:tc>
          <w:tcPr>
            <w:tcW w:w="5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 w:val="false"/>
                <w:color w:val="000000"/>
                <w:sz w:val="20"/>
                <w:szCs w:val="20"/>
                <w:shd w:fill="auto" w:val="clear"/>
                <w:lang w:val="ru-RU"/>
              </w:rPr>
              <w:t>Количество региональных партнерств (между субъектами Российской Федерации), целью которых является осуществление и развитие российского экспорта (ед.)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1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3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en-US"/>
              </w:rPr>
              <w:t>3</w:t>
            </w:r>
          </w:p>
        </w:tc>
      </w:tr>
    </w:tbl>
    <w:p>
      <w:pPr>
        <w:sectPr>
          <w:headerReference w:type="even" r:id="rId5"/>
          <w:headerReference w:type="default" r:id="rId6"/>
          <w:headerReference w:type="first" r:id="rId7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4"/>
          <w:szCs w:val="28"/>
          <w:shd w:fill="auto" w:val="clear"/>
          <w:lang w:val="ru-RU"/>
        </w:rPr>
        <w:t>* с февраля 2022 года статистические данные внешнеэкономической деятельности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color w:themeColor="text1" w:val="000000"/>
          <w:sz w:val="24"/>
          <w:szCs w:val="28"/>
          <w:shd w:fill="auto" w:val="clear"/>
          <w:lang w:val="ru-RU"/>
        </w:rPr>
        <w:t>не публикуются.».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30. Абзац 4 части 221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vertAlign w:val="superscript"/>
        </w:rPr>
        <w:t xml:space="preserve">1 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«Методика определения потребности субъектов Российской Федерации, отраслей экономики и крупнейших работодателей в профессиональных кадрах на среднесрочную и долгосрочную перспективу утверждена приказом Министерства труда и социальной защиты Российской Федерации от 22.03.2024 № 137н.».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31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. Часть 221</w:t>
      </w:r>
      <w:r>
        <w:rPr>
          <w:rFonts w:ascii="Times New Roman" w:hAnsi="Times New Roman"/>
          <w:color w:themeColor="text1" w:val="000000"/>
          <w:sz w:val="28"/>
          <w:szCs w:val="28"/>
          <w:shd w:fill="auto" w:val="clear"/>
          <w:vertAlign w:val="superscript"/>
        </w:rPr>
        <w:t xml:space="preserve">2 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дополнить пунктом 3 следующего содержания: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«3) 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численности работников, необходимой для замещения работников, прекращающих трудовую деятельность в связи с достижением пенсионного возраста, а также для замещения новых рабочих мест в связи с расширением производства и реализацией инвестиционных проектов.».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32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. Абзац первый части 221</w:t>
      </w:r>
      <w:r>
        <w:rPr>
          <w:rFonts w:ascii="Times New Roman" w:hAnsi="Times New Roman"/>
          <w:color w:val="000000"/>
          <w:sz w:val="28"/>
          <w:szCs w:val="28"/>
          <w:shd w:fill="auto" w:val="clear"/>
          <w:vertAlign w:val="superscript"/>
        </w:rPr>
        <w:t xml:space="preserve">11 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«221</w:t>
      </w:r>
      <w:r>
        <w:rPr>
          <w:rFonts w:ascii="Times New Roman" w:hAnsi="Times New Roman"/>
          <w:color w:val="000000"/>
          <w:sz w:val="28"/>
          <w:szCs w:val="28"/>
          <w:shd w:fill="auto" w:val="clear"/>
          <w:vertAlign w:val="superscript"/>
        </w:rPr>
        <w:t>11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. По прогнозным данным дополнительная потребность в кадрах в период 2024–2035 годов составит: 2024 год – 3,7 тыс. человек, 2025 год – 3,6</w:t>
      </w:r>
      <w:r>
        <w:rPr>
          <w:rFonts w:ascii="Times New Roman" w:hAnsi="Times New Roman"/>
          <w:b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 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тыс. человек, 2026 год – 3,0 тыс. человек, 2027 год – 4,1 тыс. человек, 2028</w:t>
      </w:r>
      <w:r>
        <w:rPr>
          <w:rFonts w:ascii="Times New Roman" w:hAnsi="Times New Roman"/>
          <w:b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 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год – 3,9 тыс. человек, 2029 год – 5,6 тыс. человек, 2030 год – 5,6 тыс. человек, 2031 год – 4,7 тыс. человек, 2032 год – 4,4 тыс. человек, 2033 год – 4,6</w:t>
      </w:r>
      <w:r>
        <w:rPr>
          <w:rFonts w:ascii="Times New Roman" w:hAnsi="Times New Roman"/>
          <w:b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 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тыс. человек, 2034 год – 4,5 тыс. человек, 2035 год – 4,5 тыс. человек.».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3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3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. Пункты 1–3 части 221</w:t>
      </w:r>
      <w:r>
        <w:rPr>
          <w:rFonts w:ascii="Times New Roman" w:hAnsi="Times New Roman"/>
          <w:color w:val="000000"/>
          <w:sz w:val="28"/>
          <w:szCs w:val="28"/>
          <w:shd w:fill="auto" w:val="clear"/>
          <w:vertAlign w:val="superscript"/>
        </w:rPr>
        <w:t xml:space="preserve">12 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«1) высшее образование – 19,8 тыс. человек (37,9 процента от общей потребности в кадрах);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hd w:fill="auto" w:val="clear"/>
        </w:rPr>
        <w:t>2) среднее профессиональное образование по программам подготовки специалистов среднего звена и по программам подготовки квалифицированных рабочих – 27,5 тыс. человек (52,7 процента от общей потребности в кадрах);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3) без требований к профессиональному образованию – 4,9 тыс. человек (9,4 процента от общей потребности в кадрах).».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3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4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. Часть 296 дополнить абзацем четвертым следующего содержания: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 xml:space="preserve">«Приоритетная поддержка развития опорных населенных пунктов осуществляется на основании Единого перечня, сформированного с учетом роли населенных пунктов в достижении приоритетов пространственного развития и определения основных задач по </w:t>
      </w: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поддержке их развития.».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3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5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. Пункт 1 части 308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«1) сохранение численности населения на уровне 189 тыс. человек;».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36. В пункте 2 части 323 цифры «100» заменить цифрами «25».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37. В пункте 2 части 332 цифры «100» заменить цифрами «25».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3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8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. Таблицу части 335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spacing w:lineRule="auto" w:line="240" w:before="0"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«Целевые ориентиры консодированного бюджета</w:t>
      </w:r>
    </w:p>
    <w:p>
      <w:pPr>
        <w:pStyle w:val="BodyText"/>
        <w:spacing w:lineRule="auto" w:line="240" w:before="0"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базового сценария Стратегии </w:t>
      </w:r>
    </w:p>
    <w:p>
      <w:pPr>
        <w:pStyle w:val="BodyText"/>
        <w:spacing w:lineRule="auto" w:line="240" w:before="0"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5000" w:type="pct"/>
        <w:jc w:val="left"/>
        <w:tblInd w:w="-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82"/>
        <w:gridCol w:w="5302"/>
        <w:gridCol w:w="993"/>
        <w:gridCol w:w="859"/>
        <w:gridCol w:w="850"/>
        <w:gridCol w:w="850"/>
      </w:tblGrid>
      <w:tr>
        <w:trPr>
          <w:tblHeader w:val="true"/>
        </w:trPr>
        <w:tc>
          <w:tcPr>
            <w:tcW w:w="7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5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Показатель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Факт</w:t>
            </w:r>
          </w:p>
        </w:tc>
        <w:tc>
          <w:tcPr>
            <w:tcW w:w="2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Целевое значение</w:t>
            </w:r>
          </w:p>
        </w:tc>
      </w:tr>
      <w:tr>
        <w:trPr>
          <w:tblHeader w:val="true"/>
        </w:trPr>
        <w:tc>
          <w:tcPr>
            <w:tcW w:w="7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30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2035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C9211E"/>
          <w:spacing w:val="0"/>
          <w:sz w:val="6"/>
          <w:szCs w:val="6"/>
          <w:highlight w:val="none"/>
          <w:shd w:fill="FFFF00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C9211E"/>
          <w:spacing w:val="0"/>
          <w:sz w:val="6"/>
          <w:szCs w:val="6"/>
          <w:shd w:fill="FFFF00" w:val="clear"/>
        </w:rPr>
      </w:r>
    </w:p>
    <w:tbl>
      <w:tblPr>
        <w:tblW w:w="5000" w:type="pct"/>
        <w:jc w:val="left"/>
        <w:tblInd w:w="-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84"/>
        <w:gridCol w:w="5300"/>
        <w:gridCol w:w="994"/>
        <w:gridCol w:w="858"/>
        <w:gridCol w:w="850"/>
        <w:gridCol w:w="850"/>
      </w:tblGrid>
      <w:tr>
        <w:trPr>
          <w:tblHeader w:val="true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>
        <w:trPr/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Доходы консолидированного бюджета, млрд руб.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115,4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154,5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166,7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187,5</w:t>
            </w:r>
          </w:p>
        </w:tc>
      </w:tr>
      <w:tr>
        <w:trPr/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Доходы консолидированного бюджета на душу населения, тыс. руб.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395,5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536,7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581,0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650,3</w:t>
            </w:r>
          </w:p>
        </w:tc>
      </w:tr>
      <w:tr>
        <w:trPr/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Уровень доходов консолидированного бюджета к 2021, 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133,8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144,5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162,5</w:t>
            </w:r>
          </w:p>
        </w:tc>
      </w:tr>
      <w:tr>
        <w:trPr/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Собственные доходы консолидированного бюджета, млрд руб.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44,6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74,5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91,4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112,2</w:t>
            </w:r>
          </w:p>
        </w:tc>
      </w:tr>
      <w:tr>
        <w:trPr/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Доля собственных доходов в консолидированном бюджете (налоговые и неналоговые доходы), 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38,7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48,2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54,8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59,8</w:t>
            </w:r>
          </w:p>
        </w:tc>
      </w:tr>
      <w:tr>
        <w:trPr/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Доля налога на прибыль организаций в собственных доходах консолидированного бюджета, 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13,5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12,9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11,5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7,6</w:t>
            </w:r>
          </w:p>
        </w:tc>
      </w:tr>
      <w:tr>
        <w:trPr/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Расчетная сбалансированность консолидированного бюджета (отношение разности доходов и расходов к объему доходов), 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+0,6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-4,5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+2,2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+2,2</w:t>
            </w:r>
          </w:p>
        </w:tc>
      </w:tr>
      <w:tr>
        <w:trPr/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Отношение объема государственного долга Камчатского края к объему налоговых и неналоговых доходов (долговая нагрузка бюджета), 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14,8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27,4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24,6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hd w:fill="auto" w:val="clear"/>
              </w:rPr>
              <w:t>4,4</w:t>
            </w:r>
          </w:p>
        </w:tc>
      </w:tr>
      <w:tr>
        <w:trPr/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Доля расходов консолидированного бюджета, направляемых на капитальные вложения, 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9,2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12–15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15–20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15–20</w:t>
            </w:r>
          </w:p>
        </w:tc>
      </w:tr>
    </w:tbl>
    <w:p>
      <w:pPr>
        <w:pStyle w:val="BodyText"/>
        <w:spacing w:lineRule="auto" w:line="240" w:before="0"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>
      <w:pPr>
        <w:pStyle w:val="BodyText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В части 336:</w:t>
      </w:r>
    </w:p>
    <w:p>
      <w:pPr>
        <w:pStyle w:val="BodyText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абзаце первом:</w:t>
      </w:r>
    </w:p>
    <w:p>
      <w:pPr>
        <w:pStyle w:val="BodyText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первом предложении цифры «129,9» заменить цифрами «112,1», цифры «1,5» заменить цифрами «2,5»;</w:t>
      </w:r>
    </w:p>
    <w:p>
      <w:pPr>
        <w:pStyle w:val="BodyText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во втором предложении слова «в 1,4 раза» заменить словами «в 1,6 раз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»;</w:t>
      </w:r>
    </w:p>
    <w:p>
      <w:pPr>
        <w:pStyle w:val="BodyText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абзаце втором цифру «75» заменить цифрой «60»;</w:t>
      </w:r>
    </w:p>
    <w:p>
      <w:pPr>
        <w:pStyle w:val="BodyText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третьем абзаце цифру «4» заменить цифрой «4,4».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40</w:t>
      </w: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. В части 347: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1) пункты 1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–2 признать утратившими силу;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2) пункт 7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«7) использование мер государственной поддержки мероприятий по обновлению рыбопромыслового флота, развитию портовой инфраструктуры для комплексного обслуживания судов рыбопромыслового флота за счет средств федерального бюджета.»;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3) дополнить пунктом 8 следующего содержания: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«8)</w:t>
      </w: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  <w:lang w:val="ru-RU"/>
        </w:rPr>
        <w:t>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информирование и консультирование рыбохозяйственных организаций Камчатского края по вопросу получения мер государственной поддержки, направленных на развитие экспорта рыбопродукции, за счет средств федерального бюджета.».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41</w:t>
      </w: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. Часть 349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«349. Туристско-рекреационный комплекс: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1) предоставление субсидии из федерального бюджета бюджету Камчатского края на создание инженерной и транспортной инфраструктуры в целях развития туристских кластеров;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2) предоставление субсидии из федерального бюджета бюджету Камчатского края на поддержку инвестиционных проектов по созданию модульных некапитальных средств размещения;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3) предоставление единой субсидии из федерального бюджета бюджету Камчатского края на реализацию проектов, направленных на развитие туристской инфраструктуры;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4) государственная поддержка инвестиционных проектов по созданию туристической инфраструктуры в форме льготного кредитования;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5) государственная поддержка инвестиционных проектов по развитию горнолыжных курортов в форме льготного кредитования;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6) предоставление иных межбюджетных трансфертов на реализацию мероприятий плана социального развития центров экономического роста в Камчатском крае;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7) предоставление из краевого бюджета субсидий юридическим лицам в целях возмещения затрат, связанных с оказанием услуг в сфере социального туризма на территории Камчатского края;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8) финансовая поддержка (софинансирование) субъектов малого и среднего предпринимательства, осуществляющих деятельность в сфере туризма на территории отдельных муниципальных образований Камчатского края, а также финансовая поддержка на развитие лучших региональных брендов;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9) сопровождение и поддержка предприятий малого и среднего бизнеса;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10) содействие начинающим предпринимателям в ведении туристского бизнеса, в облегчении получения разрешительной документации, в обеспечении доступа предпринимателей к типовым проектам, согласованным с планами развития туризма, градостроительной политикой, требованиями надзорных органов;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11) реализация мероприятий, направленных на расширение ассортимента комплексного туристского продукта Камчатского края и создание новых экскурсионных и туристских маршрутов, популяризация отдельных видов туризма в Камчатском крае (проведение краевых туристских праздников, международных форумов в сфере туризма, туристских соревнований, слетов, конкурсов);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ru-RU" w:bidi="ar-SA"/>
        </w:rPr>
        <w:t>12) реализация мероприятий по организации и проведению курсов профессиональной подготовки и переподготовки специалистов в сфере туризма и гостеприимства.».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42</w:t>
      </w: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. Часть 355 дополнить пунктом 28 следующего содержания: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position w:val="0"/>
          <w:sz w:val="28"/>
          <w:sz w:val="28"/>
          <w:szCs w:val="28"/>
          <w:shd w:fill="auto" w:val="clear"/>
          <w:vertAlign w:val="baseline"/>
        </w:rPr>
        <w:t>«28) «Оказание содействия добровольному переселению в Камчатский край соотечественников, проживающих за рубежом».».</w:t>
      </w:r>
    </w:p>
    <w:p>
      <w:pPr>
        <w:sectPr>
          <w:headerReference w:type="even" r:id="rId8"/>
          <w:headerReference w:type="default" r:id="rId9"/>
          <w:headerReference w:type="first" r:id="rId10"/>
          <w:type w:val="nextPage"/>
          <w:pgSz w:w="11906" w:h="16838"/>
          <w:pgMar w:left="1418" w:right="851" w:gutter="0" w:header="1134" w:top="1191" w:footer="0" w:bottom="1134"/>
          <w:pgNumType w:fmt="decimal"/>
          <w:formProt w:val="false"/>
          <w:textDirection w:val="lrTb"/>
          <w:docGrid w:type="default" w:linePitch="100" w:charSpace="12288"/>
        </w:sect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43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. Приложение 1 к Стратегии социально-экономического развития Камчатского края до 2035 года изложить в следующей редакции:</w:t>
      </w:r>
    </w:p>
    <w:p>
      <w:pPr>
        <w:pStyle w:val="BodyText"/>
        <w:spacing w:lineRule="auto" w:line="240" w:before="0" w:after="0"/>
        <w:ind w:firstLine="709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«Приложение 1 к Стратегии</w:t>
      </w:r>
    </w:p>
    <w:p>
      <w:pPr>
        <w:pStyle w:val="BodyText"/>
        <w:spacing w:lineRule="auto" w:line="240" w:before="0" w:after="0"/>
        <w:ind w:firstLine="709"/>
        <w:jc w:val="right"/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vertAlign w:val="baseline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vertAlign w:val="baseline"/>
        </w:rPr>
      </w:r>
    </w:p>
    <w:p>
      <w:pPr>
        <w:pStyle w:val="BodyText"/>
        <w:spacing w:lineRule="auto" w:line="240" w:before="0" w:after="0"/>
        <w:jc w:val="center"/>
        <w:rPr/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vertAlign w:val="baseline"/>
        </w:rPr>
        <w:t>Основные инвестиционные проекты, планируемые к реализации в Юго-восточной зоне</w:t>
      </w:r>
    </w:p>
    <w:p>
      <w:pPr>
        <w:pStyle w:val="BodyText"/>
        <w:spacing w:lineRule="auto" w:line="240" w:before="0" w:after="0"/>
        <w:jc w:val="center"/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vertAlign w:val="baseline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vertAlign w:val="baseline"/>
        </w:rPr>
      </w:r>
    </w:p>
    <w:tbl>
      <w:tblPr>
        <w:tblW w:w="14562" w:type="dxa"/>
        <w:jc w:val="left"/>
        <w:tblInd w:w="59" w:type="dxa"/>
        <w:tblLayout w:type="fixed"/>
        <w:tblCellMar>
          <w:top w:w="0" w:type="dxa"/>
          <w:left w:w="85" w:type="dxa"/>
          <w:bottom w:w="0" w:type="dxa"/>
          <w:right w:w="85" w:type="dxa"/>
        </w:tblCellMar>
        <w:tblLook w:val="04a0" w:noHBand="0" w:noVBand="1" w:firstColumn="1" w:lastRow="0" w:lastColumn="0" w:firstRow="1"/>
      </w:tblPr>
      <w:tblGrid>
        <w:gridCol w:w="783"/>
        <w:gridCol w:w="6324"/>
        <w:gridCol w:w="3300"/>
        <w:gridCol w:w="1430"/>
        <w:gridCol w:w="1385"/>
        <w:gridCol w:w="1339"/>
      </w:tblGrid>
      <w:tr>
        <w:trPr>
          <w:trHeight w:val="20" w:hRule="atLeast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8"/>
              </w:rPr>
              <w:t>п/п</w:t>
            </w:r>
          </w:p>
        </w:tc>
        <w:tc>
          <w:tcPr>
            <w:tcW w:w="6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инвестиционного проекта</w:t>
            </w: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8"/>
              </w:rPr>
              <w:t>Территория реализации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8"/>
              </w:rPr>
              <w:t>Срок реализации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Объем инвестиций, млн руб.</w:t>
            </w: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8"/>
              </w:rPr>
              <w:t>Рабочие места, чел.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themeColor="text1" w:val="000000"/>
          <w:position w:val="0"/>
          <w:sz w:val="8"/>
          <w:sz w:val="8"/>
          <w:szCs w:val="8"/>
          <w:vertAlign w:val="baseline"/>
        </w:rPr>
      </w:pPr>
      <w:r>
        <w:rPr>
          <w:rFonts w:ascii="Times New Roman" w:hAnsi="Times New Roman"/>
          <w:color w:themeColor="text1" w:val="000000"/>
          <w:position w:val="0"/>
          <w:sz w:val="8"/>
          <w:sz w:val="8"/>
          <w:szCs w:val="8"/>
          <w:vertAlign w:val="baseline"/>
        </w:rPr>
      </w:r>
    </w:p>
    <w:tbl>
      <w:tblPr>
        <w:tblW w:w="14562" w:type="dxa"/>
        <w:jc w:val="left"/>
        <w:tblInd w:w="59" w:type="dxa"/>
        <w:tblLayout w:type="fixed"/>
        <w:tblCellMar>
          <w:top w:w="0" w:type="dxa"/>
          <w:left w:w="85" w:type="dxa"/>
          <w:bottom w:w="0" w:type="dxa"/>
          <w:right w:w="85" w:type="dxa"/>
        </w:tblCellMar>
        <w:tblLook w:val="04a0" w:noHBand="0" w:noVBand="1" w:firstColumn="1" w:lastRow="0" w:lastColumn="0" w:firstRow="1"/>
      </w:tblPr>
      <w:tblGrid>
        <w:gridCol w:w="783"/>
        <w:gridCol w:w="6301"/>
        <w:gridCol w:w="3301"/>
        <w:gridCol w:w="1407"/>
        <w:gridCol w:w="1408"/>
        <w:gridCol w:w="1361"/>
      </w:tblGrid>
      <w:tr>
        <w:trPr>
          <w:tblHeader w:val="true"/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6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1.</w:t>
            </w:r>
          </w:p>
        </w:tc>
        <w:tc>
          <w:tcPr>
            <w:tcW w:w="137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Туризм и рекреация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Создание курорта и общедоступной курортной инфраструктуры вокруг вулканов Мутновский, Вилючинский и Горелый – «Парк «Три вулкана»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2030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34 010,0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864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и эксплуатация гостинично-делового комплекса и хостела в г. Петропавловске-Камчатском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2026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10 726,3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256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гостиницы, термального комплекса и Healing Center «Green Flow Камчатка»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ТРК Паратунка, 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2 004,2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183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туристического гостинично-развлекательного комплекса «Хонка Камчатка»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ТРК Зеленовские озерки, 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2026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2 376,9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98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6.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Строительство гостиничного комплекса с термальным СПА комплексом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ТРК Зеленовские озерки, 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3 020,6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39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7.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гостиничного комплекса «Cosmos Collection Kamchatka»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ТРК Зеленовские озерки,</w:t>
            </w:r>
          </w:p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7 482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340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8.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и эксплуатация спортивно-оздоровительного центра «Тополовый парк»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п. Паратунка, 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421,8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90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9.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гостиницы уровня «три звезды»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ул. Топоркова, г. 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2018–2024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380,0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42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10.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базы отдыха «УСАДЬБА КУТХ»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ТРК Паратунка, 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570,7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80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11.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туристической базы отдыха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ТРК Паратунка, 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200,0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21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12.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Создание туристско-рекреационного комплекса «Обитаемая земля»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ТРК Паратунка, 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187,8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50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13.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представительства ФГБУ «Кроноцкий государственный заповедник»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2018–2024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150,0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10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14.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и эксплуатация туристско-рекреационного комплекса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ТРК Зеленовские озерки, 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133,3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32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8"/>
                <w:shd w:fill="auto" w:val="clear"/>
                <w:lang w:val="ru-RU" w:eastAsia="ru-RU" w:bidi="ar-SA"/>
              </w:rPr>
              <w:t>15.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Создание СКК «Жемчужина Камчатки» на территории санатория «Жемчужина Камчатки» (вкл. реконструкцию и новое строительство)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п. Паратунка, Елизовский МО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2 898,6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396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8"/>
                <w:shd w:fill="auto" w:val="clear"/>
                <w:lang w:val="ru-RU" w:eastAsia="ru-RU" w:bidi="ar-SA"/>
              </w:rPr>
              <w:t>16.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Строительство гостиничного комплекса на Зеленовских озерках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ТРК Зеленовские озерки, Елизовский МО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2032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541,7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34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8"/>
                <w:shd w:fill="auto" w:val="clear"/>
                <w:lang w:val="ru-RU" w:eastAsia="ru-RU" w:bidi="ar-SA"/>
              </w:rPr>
              <w:t>17.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Строительство и эксплуатация гостиничного комплекса 5*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ТРК Паратунка, Елизовский МО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2029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3 637,0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174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8"/>
                <w:shd w:fill="auto" w:val="clear"/>
                <w:lang w:val="ru-RU" w:eastAsia="ru-RU" w:bidi="ar-SA"/>
              </w:rPr>
              <w:t>18.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Строительство парк-отеля «МАГМАО»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ТРК Зеленовские озерки, Елизовский МО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145,6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108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8"/>
                <w:shd w:fill="auto" w:val="clear"/>
                <w:lang w:val="ru-RU" w:eastAsia="ru-RU" w:bidi="ar-SA"/>
              </w:rPr>
              <w:t>19.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Строительство двух домов элит-класса в п. Паратунка Камчатского края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п. Паратунка, Елизовский МО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185,2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5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20.</w:t>
            </w:r>
          </w:p>
        </w:tc>
        <w:tc>
          <w:tcPr>
            <w:tcW w:w="137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Логистика и транспорт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21.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нового пассажирского терминала международного аэропорта Петропавловск-Камчатский (Елизово)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Елизово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2023–2025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22 583,0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146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22.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рефрижераторного терминала, терминала по обработке навалочных, генеральных грузов и пассажирского терминала для организации водного туризма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2026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2 766,7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102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23.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универсального хранилища круглогодичного хранения сельскохозяйственной продукции, входящего в состав совместного кластерного проекта для МСП, являющихся участниками территориальных кластеров Камчатского края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2022–2041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182,4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30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24.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здания общественно-делового центра и здания логистического центра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2026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151,0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8"/>
                <w:shd w:fill="auto" w:val="clear"/>
                <w:lang w:val="ru-RU" w:eastAsia="ru-RU" w:bidi="ar-SA"/>
              </w:rPr>
              <w:t>26.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Создание международного морского рефрижераторного терминала по комплексному обслуживанию рыбопромысловых судов и организации перевалки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2026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6 450,1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233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27.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shd w:fill="auto" w:val="clear"/>
              </w:rPr>
              <w:t>Строительство объездной дороги от Петропавловского шоссе до жилого района «Северо-Восток», 1 этап – от Петропавловского шоссе до ул. Солнечной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2026–2028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4 098,0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28.</w:t>
            </w:r>
          </w:p>
        </w:tc>
        <w:tc>
          <w:tcPr>
            <w:tcW w:w="137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Энергетика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29.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объектов береговой инфраструктуры  регазификационного комплекса СПГ, в том числе: причальные сооружения, технологические площадки, площадка налива СПГ, газопровод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2023-2026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13 573,89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158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30.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двух челноков для перевозки СПГ и плавучей регазификационной установки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2023-2026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28 500,0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36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31.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второй очереди Мутновской ГеоЭС и бинарного блока на площадке МГеоЭС-1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Елизовский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2028–2030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27 824,0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200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32.</w:t>
            </w:r>
          </w:p>
        </w:tc>
        <w:tc>
          <w:tcPr>
            <w:tcW w:w="137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Судоремонт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33.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Создание судоремонтного предприятия с возможностью осуществления навигационного и докового ремонта, а также технического обслуживания судов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2025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12 500,0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498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34.</w:t>
            </w:r>
          </w:p>
        </w:tc>
        <w:tc>
          <w:tcPr>
            <w:tcW w:w="137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Добыча полезных ископаемых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35.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горнодобывающего предприятия на базе участка Асачинского месторождения (25 Жила) и модернизация золотоизвлекательной фабрики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Межселенная территория Елизовского 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13 901,0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156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8"/>
                <w:shd w:fill="auto" w:val="clear"/>
                <w:lang w:val="ru-RU" w:eastAsia="ru-RU" w:bidi="ar-SA"/>
              </w:rPr>
              <w:t>36.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Разработка и коммерческая эксплуатация месторождений объёмом более 1,5 млн куб. метров общераспространённых полезных ископаемых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Елизовский МО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251,1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41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8"/>
                <w:shd w:fill="auto" w:val="clear"/>
                <w:lang w:val="ru-RU" w:eastAsia="ru-RU" w:bidi="ar-SA"/>
              </w:rPr>
              <w:t>37.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Организация добычи и производства нерудных строительных материалов для нужд строительного хозяйства Камчатского края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Николаевское сельское поселение, Елизовский МО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2026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512,9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38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38.</w:t>
            </w:r>
          </w:p>
        </w:tc>
        <w:tc>
          <w:tcPr>
            <w:tcW w:w="137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Рыбохозяйственный комплекс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39.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Эксплуатация среднетоннажного промыслового судна № 2 длиной не менее 35 метров для Дальневосточного рыбохозяйственного бассейна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Елизово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2023–2025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3 322,4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111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40.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Строительство двух транспортных рефрижераторов РК им. В.И. Ленина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firstLine="57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hanging="86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2028-2031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hanging="83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14 472,4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48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41.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Строительство двух среднетоннажных добывающих судов для ловли крабов ОАО «ФЕНИКС»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2021-2027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4 470,2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42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42.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Строительство крупнотоннажного рыболовного судна ООО «Терагра Ост»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firstLine="57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hanging="86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2028-2031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hanging="86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14 000,0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140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43.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Строительство крупнотоннажного рыболовного судна ООО «Терагра Вест»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2028-2031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14 000,0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140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Строительство производственного объекта по переработке минтая и иных видов рыб большой мощности РК им. В.И. Ленина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2028-2030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1 875,4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129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45.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Строительство производственного объекта по переработке минтая и иных видов рыб большой мощности ООО «Камчаттралфлот»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2023-2027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929,4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146</w:t>
            </w:r>
          </w:p>
        </w:tc>
      </w:tr>
      <w:tr>
        <w:trPr>
          <w:trHeight w:val="284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46.</w:t>
            </w:r>
          </w:p>
        </w:tc>
        <w:tc>
          <w:tcPr>
            <w:tcW w:w="13778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Сельское хозяйство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47.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молочно-товарной фермы на 1199 голов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п.</w:t>
            </w:r>
            <w:r>
              <w:rPr>
                <w:rFonts w:ascii="Times New Roman" w:hAnsi="Times New Roman"/>
                <w:spacing w:val="-11"/>
                <w:sz w:val="24"/>
                <w:szCs w:val="28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Раздольный,</w:t>
            </w:r>
            <w:r>
              <w:rPr>
                <w:rFonts w:ascii="Times New Roman" w:hAnsi="Times New Roman"/>
                <w:spacing w:val="-67"/>
                <w:sz w:val="24"/>
                <w:szCs w:val="28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Елизовский</w:t>
            </w:r>
            <w:r>
              <w:rPr>
                <w:rFonts w:ascii="Times New Roman" w:hAnsi="Times New Roman"/>
                <w:spacing w:val="1"/>
                <w:sz w:val="24"/>
                <w:szCs w:val="28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МО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2027–2030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1 000,0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23</w:t>
            </w:r>
          </w:p>
        </w:tc>
      </w:tr>
      <w:tr>
        <w:trPr>
          <w:trHeight w:val="435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48.</w:t>
            </w:r>
          </w:p>
        </w:tc>
        <w:tc>
          <w:tcPr>
            <w:tcW w:w="137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Жилищное строительство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49.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и эксплуатация жилого комплекса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ул. Тушканова, г. 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13 324,8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165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50.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Строительство объектов капитального строительства, предназначенных для размещения жилых помещений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 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2028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11 496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302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51.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жилого комплекса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ул. Пограничная, г. Петропавловск-Камчатский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2021–2027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900,0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3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52.</w:t>
            </w:r>
          </w:p>
        </w:tc>
        <w:tc>
          <w:tcPr>
            <w:tcW w:w="6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Комплексная застройка мкр. Чирельчик</w:t>
            </w:r>
          </w:p>
        </w:tc>
        <w:tc>
          <w:tcPr>
            <w:tcW w:w="33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п. Термальный, Елизовский МО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2028</w:t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5 477,6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8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53.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 комплекса многоквартирных домов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Вилючинск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2019–2024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438,1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134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54.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Строительство</w:t>
            </w:r>
            <w:r>
              <w:rPr>
                <w:rFonts w:ascii="Times New Roman" w:hAnsi="Times New Roman"/>
                <w:spacing w:val="1"/>
                <w:sz w:val="24"/>
                <w:szCs w:val="28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многоквартирного жилого</w:t>
            </w:r>
            <w:r>
              <w:rPr>
                <w:rFonts w:ascii="Times New Roman" w:hAnsi="Times New Roman"/>
                <w:spacing w:val="1"/>
                <w:sz w:val="24"/>
                <w:szCs w:val="28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дома на 189 квартир с</w:t>
            </w:r>
            <w:r>
              <w:rPr>
                <w:rFonts w:ascii="Times New Roman" w:hAnsi="Times New Roman"/>
                <w:spacing w:val="1"/>
                <w:sz w:val="24"/>
                <w:szCs w:val="28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благоустроенной</w:t>
            </w:r>
            <w:r>
              <w:rPr>
                <w:rFonts w:ascii="Times New Roman" w:hAnsi="Times New Roman"/>
                <w:spacing w:val="1"/>
                <w:sz w:val="24"/>
                <w:szCs w:val="28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придомовой территорией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Елизово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2023–2024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740,2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83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55.</w:t>
            </w:r>
          </w:p>
        </w:tc>
        <w:tc>
          <w:tcPr>
            <w:tcW w:w="137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Прочие</w:t>
            </w:r>
          </w:p>
        </w:tc>
      </w:tr>
      <w:tr>
        <w:trPr>
          <w:trHeight w:val="20" w:hRule="atLeast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56.</w:t>
            </w:r>
          </w:p>
        </w:tc>
        <w:tc>
          <w:tcPr>
            <w:tcW w:w="6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Организация комплекса по производству бетона, асфальтобетона и железобетонных изделий на территории промышленного парка «Дальний»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г. Петропавловск-Камчатский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2020–2024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216,8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50</w:t>
            </w:r>
          </w:p>
        </w:tc>
      </w:tr>
    </w:tbl>
    <w:p>
      <w:pPr>
        <w:sectPr>
          <w:headerReference w:type="even" r:id="rId11"/>
          <w:headerReference w:type="default" r:id="rId12"/>
          <w:headerReference w:type="first" r:id="rId13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40" w:before="0" w:after="0"/>
        <w:ind w:firstLine="709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44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 xml:space="preserve">. В таблице приложения 2 к Стратегии социально-экономического развития Камчатского края до 2035 года: 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1) в графе 4 строки 14 цифры «2022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2025» заменить цифрами «2022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2) в строке 15: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а) в графе 4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2028» заменить цифрами «2027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2030»;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б) в графе 5 цифры «3 308,0» заменить цифрами «4 460,0»;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3) в графе 4 строки 16 цифры «2023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2025» заменить цифрами «2023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2026»;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4) в строке 17: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а) в графе 4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2028» заменить цифрами «2027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б) в графе 5 цифры «987,3» заменить цифрами «1 302,3»;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5) в графе 4 строки 18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6) в графе 4 строки 19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7) в графе 4 строки 20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8) в графе 4 строки 21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9) в графе 4 строки 22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10) в графе 4 строки 23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11) в графе 4 строки 24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12) в графе 4 строки 25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13) в графе 4 строки 26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14) в графе 4 строки 33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2028»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15) в графе 4 строки 34 цифры «2027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2028»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2030».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4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5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. В таблице приложения 3 к Стратегии социально-экономического развития Камчатского края до 2035 года: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1) в строке 3: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а) в графе 4 цифры «2031» заменить цифрами «2034»;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б) в графе 5 цифры «2 158,0» заменить цифрами «11 908,0»;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2) строку 8 изложить в следующей редакции:</w:t>
      </w:r>
    </w:p>
    <w:p>
      <w:pPr>
        <w:pStyle w:val="BodyText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</w:t>
      </w:r>
    </w:p>
    <w:tbl>
      <w:tblPr>
        <w:tblW w:w="9735" w:type="dxa"/>
        <w:jc w:val="left"/>
        <w:tblInd w:w="-6" w:type="dxa"/>
        <w:tblLayout w:type="fixed"/>
        <w:tblCellMar>
          <w:top w:w="0" w:type="dxa"/>
          <w:left w:w="85" w:type="dxa"/>
          <w:bottom w:w="0" w:type="dxa"/>
          <w:right w:w="85" w:type="dxa"/>
        </w:tblCellMar>
        <w:tblLook w:val="04a0" w:noHBand="0" w:noVBand="1" w:firstColumn="1" w:lastRow="0" w:lastColumn="0" w:firstRow="1"/>
      </w:tblPr>
      <w:tblGrid>
        <w:gridCol w:w="440"/>
        <w:gridCol w:w="4404"/>
        <w:gridCol w:w="1841"/>
        <w:gridCol w:w="992"/>
        <w:gridCol w:w="977"/>
        <w:gridCol w:w="1080"/>
      </w:tblGrid>
      <w:tr>
        <w:trPr/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  <w:shd w:fill="auto" w:val="clear"/>
              </w:rPr>
              <w:t>8.</w:t>
            </w:r>
          </w:p>
        </w:tc>
        <w:tc>
          <w:tcPr>
            <w:tcW w:w="4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hd w:fill="auto" w:val="clear"/>
              </w:rPr>
              <w:t>Модернизация ДЭС (ввод и замена ДГУ)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hd w:fill="auto" w:val="clear"/>
              </w:rPr>
              <w:t>Усть-Камчатский МО, Мильковский МО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hd w:fill="auto" w:val="clear"/>
              </w:rPr>
              <w:t>2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4"/>
                <w:szCs w:val="20"/>
                <w:shd w:fill="auto" w:val="clear"/>
                <w:lang w:val="ru-RU" w:eastAsia="ru-RU" w:bidi="ar-SA"/>
              </w:rPr>
              <w:t>027–2030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hd w:fill="auto" w:val="clear"/>
              </w:rPr>
              <w:t>82,0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hd w:fill="auto" w:val="clear"/>
              </w:rPr>
              <w:t>–</w:t>
            </w:r>
          </w:p>
        </w:tc>
      </w:tr>
    </w:tbl>
    <w:p>
      <w:pPr>
        <w:pStyle w:val="BodyText"/>
        <w:spacing w:lineRule="auto" w:line="240" w:before="0" w:after="0"/>
        <w:ind w:firstLine="709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4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6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. В таблице приложения 5 к Стратегии социально-экономического развития Камчатского края до 2035 года: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1) в графе 4 строки 5 цифры «2027» заменить цифрами «2028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2030»;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2) в графе 4 строки 6 цифры «2035» заменить цифрами «2030»;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3) в строке 8: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а) в графе 4 цифры «2036» заменить цифрами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б) в графе 5 цифры «25,2» заменить цифрами «21,7».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4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7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. В таблице приложения 6 к Стратегии социально-экономического развития Камчатского края до 2035 года: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1) в графе 4 строки 7 цифры «2024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2025» заменить цифрами «2027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2) дополнить строкой 8 следующего содержания:</w:t>
      </w:r>
    </w:p>
    <w:p>
      <w:pPr>
        <w:pStyle w:val="BodyText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sz w:val="28"/>
          <w:szCs w:val="28"/>
          <w:shd w:fill="auto" w:val="clear"/>
        </w:rPr>
        <w:t>«</w:t>
      </w:r>
    </w:p>
    <w:tbl>
      <w:tblPr>
        <w:tblW w:w="5000" w:type="pct"/>
        <w:jc w:val="left"/>
        <w:tblInd w:w="-2" w:type="dxa"/>
        <w:tblLayout w:type="fixed"/>
        <w:tblCellMar>
          <w:top w:w="0" w:type="dxa"/>
          <w:left w:w="85" w:type="dxa"/>
          <w:bottom w:w="0" w:type="dxa"/>
          <w:right w:w="85" w:type="dxa"/>
        </w:tblCellMar>
        <w:tblLook w:val="04a0" w:noHBand="0" w:noVBand="1" w:firstColumn="1" w:lastRow="0" w:lastColumn="0" w:firstRow="1"/>
      </w:tblPr>
      <w:tblGrid>
        <w:gridCol w:w="363"/>
        <w:gridCol w:w="4333"/>
        <w:gridCol w:w="1978"/>
        <w:gridCol w:w="983"/>
        <w:gridCol w:w="986"/>
        <w:gridCol w:w="993"/>
      </w:tblGrid>
      <w:tr>
        <w:trPr/>
        <w:tc>
          <w:tcPr>
            <w:tcW w:w="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8"/>
                <w:shd w:fill="auto" w:val="clear"/>
              </w:rPr>
              <w:t>8.</w:t>
            </w:r>
          </w:p>
        </w:tc>
        <w:tc>
          <w:tcPr>
            <w:tcW w:w="4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8"/>
                <w:shd w:fill="auto" w:val="clear"/>
              </w:rPr>
              <w:t>Дом культуры (строительство)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8"/>
                <w:shd w:fill="auto" w:val="clear"/>
              </w:rPr>
              <w:t>п. Крутогоровский, Соболевский МО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4"/>
                <w:szCs w:val="20"/>
                <w:shd w:fill="auto" w:val="clear"/>
                <w:lang w:val="ru-RU" w:eastAsia="ru-RU" w:bidi="ar-SA"/>
              </w:rPr>
              <w:t>2027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8"/>
                <w:shd w:fill="auto" w:val="clear"/>
              </w:rPr>
              <w:t>65,0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8"/>
                <w:shd w:fill="auto" w:val="clear"/>
              </w:rPr>
              <w:t>–</w:t>
            </w:r>
          </w:p>
        </w:tc>
      </w:tr>
    </w:tbl>
    <w:p>
      <w:pPr>
        <w:pStyle w:val="BodyText"/>
        <w:spacing w:lineRule="auto" w:line="240" w:before="0" w:after="0"/>
        <w:ind w:firstLine="709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4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8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. В таблице приложения 7 к Стратегии социально-экономического развития Камчатского края до 2035 года: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1) в строке 2: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а) в графе 4 цифры «2025» заменить цифрами «2026»;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б) в графе 5 цифры «3 992,0» заменить цифрами «7 660,0»;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2) в строке 7: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а) в графе 4 цифры «2026» заменить цифрами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2030»;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б) в графе 5 цифры «108,1»  заменить цифрами «493,0».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4</w:t>
      </w:r>
      <w:r>
        <w:rPr>
          <w:rFonts w:ascii="Times New Roman" w:hAnsi="Times New Roman"/>
          <w:sz w:val="28"/>
          <w:szCs w:val="28"/>
          <w:shd w:fill="auto" w:val="clear"/>
        </w:rPr>
        <w:t>9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. 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В таблице приложения 8 к Стратегии социально-экономического развития Камчатского края до 2035 года: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1) в графе 4 строки 16 цифры «2024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2025» заменить цифрами «202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4–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2026»;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2) в графе 4 строки 17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«2027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3) в графе 4 строки 18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«2027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4) в графе 4 строки 19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«2027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2029»;</w:t>
      </w:r>
    </w:p>
    <w:p>
      <w:pPr>
        <w:pStyle w:val="BodyText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5) в графе 4 строки 20 цифры «2026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2027» заменить цифрами «2027</w:t>
      </w:r>
      <w:r>
        <w:rPr>
          <w:rFonts w:ascii="Times New Roman" w:hAnsi="Times New Roman"/>
          <w:color w:val="000000"/>
          <w:position w:val="0"/>
          <w:sz w:val="28"/>
          <w:sz w:val="28"/>
          <w:szCs w:val="28"/>
          <w:shd w:fill="auto" w:val="clear"/>
          <w:vertAlign w:val="baseline"/>
        </w:rPr>
        <w:t>–</w:t>
      </w: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shd w:fill="auto" w:val="clear"/>
          <w:vertAlign w:val="baseline"/>
        </w:rPr>
        <w:t>2029».</w:t>
      </w:r>
    </w:p>
    <w:p>
      <w:pPr>
        <w:pStyle w:val="BodyText"/>
        <w:spacing w:lineRule="auto" w:line="240" w:before="0" w:after="0"/>
        <w:ind w:firstLine="709"/>
        <w:jc w:val="both"/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vertAlign w:val="baseline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vertAlign w:val="baseline"/>
        </w:rPr>
      </w:r>
    </w:p>
    <w:p>
      <w:pPr>
        <w:pStyle w:val="BodyText"/>
        <w:spacing w:lineRule="auto" w:line="240" w:before="0" w:after="0"/>
        <w:ind w:firstLine="709"/>
        <w:jc w:val="both"/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vertAlign w:val="baseline"/>
        </w:rPr>
      </w:pPr>
      <w:r>
        <w:rPr>
          <w:rFonts w:ascii="Times New Roman" w:hAnsi="Times New Roman"/>
          <w:color w:themeColor="text1" w:val="000000"/>
          <w:position w:val="0"/>
          <w:sz w:val="28"/>
          <w:sz w:val="28"/>
          <w:szCs w:val="28"/>
          <w:vertAlign w:val="baseline"/>
        </w:rPr>
      </w:r>
    </w:p>
    <w:sectPr>
      <w:headerReference w:type="even" r:id="rId14"/>
      <w:headerReference w:type="default" r:id="rId15"/>
      <w:headerReference w:type="first" r:id="rId16"/>
      <w:type w:val="nextPage"/>
      <w:pgSz w:w="11906" w:h="16838"/>
      <w:pgMar w:left="1418" w:right="851" w:gutter="0" w:header="1134" w:top="1191" w:footer="0" w:bottom="1134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2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64" w:before="0" w:after="160"/>
      <w:jc w:val="left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18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19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3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64" w:before="0" w:after="160"/>
      <w:jc w:val="left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64" w:before="0" w:after="160"/>
      <w:jc w:val="left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12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13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64" w:before="0" w:after="16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hyphenationZone w:val="357"/>
  <w:evenAndOddHeaders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Heading1">
    <w:name w:val="Heading 1"/>
    <w:next w:val="Normal"/>
    <w:link w:val="1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Heading2">
    <w:name w:val="Heading 2"/>
    <w:next w:val="Normal"/>
    <w:link w:val="2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Heading3">
    <w:name w:val="Heading 3"/>
    <w:next w:val="Normal"/>
    <w:link w:val="3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next w:val="Normal"/>
    <w:link w:val="4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next w:val="Normal"/>
    <w:link w:val="5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бычный1"/>
    <w:qFormat/>
    <w:rPr/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Style9" w:customStyle="1">
    <w:name w:val="Верхний колонтитул Знак"/>
    <w:basedOn w:val="1"/>
    <w:uiPriority w:val="99"/>
    <w:qFormat/>
    <w:rPr/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Style10" w:customStyle="1">
    <w:name w:val="Текст Знак"/>
    <w:basedOn w:val="1"/>
    <w:link w:val="PlainText"/>
    <w:qFormat/>
    <w:rPr>
      <w:rFonts w:ascii="Calibri" w:hAnsi="Calibri"/>
    </w:rPr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11" w:customStyle="1">
    <w:name w:val="Заголовок 1 Знак"/>
    <w:qFormat/>
    <w:rPr>
      <w:rFonts w:ascii="XO Thames" w:hAnsi="XO Thames"/>
      <w:b/>
      <w:sz w:val="32"/>
    </w:rPr>
  </w:style>
  <w:style w:type="character" w:styleId="Hyperlink">
    <w:name w:val="Hyperlink"/>
    <w:basedOn w:val="DefaultParagraphFont"/>
    <w:link w:val="13"/>
    <w:rPr>
      <w:color w:themeColor="hyperlink" w:val="0563C1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Style11" w:customStyle="1">
    <w:name w:val="Подзаголовок Знак"/>
    <w:qFormat/>
    <w:rPr>
      <w:rFonts w:ascii="XO Thames" w:hAnsi="XO Thames"/>
      <w:i/>
      <w:sz w:val="24"/>
    </w:rPr>
  </w:style>
  <w:style w:type="character" w:styleId="Style12" w:customStyle="1">
    <w:name w:val="Нижний колонтитул Знак"/>
    <w:basedOn w:val="1"/>
    <w:qFormat/>
    <w:rPr>
      <w:rFonts w:ascii="Times New Roman" w:hAnsi="Times New Roman"/>
      <w:sz w:val="28"/>
    </w:rPr>
  </w:style>
  <w:style w:type="character" w:styleId="Style13" w:customStyle="1">
    <w:name w:val="Заголовок Знак"/>
    <w:qFormat/>
    <w:rPr>
      <w:rFonts w:ascii="XO Thames" w:hAnsi="XO Thames"/>
      <w:b/>
      <w:caps/>
      <w:sz w:val="40"/>
    </w:rPr>
  </w:style>
  <w:style w:type="character" w:styleId="Style14" w:customStyle="1">
    <w:name w:val="Текст выноски Знак"/>
    <w:basedOn w:val="1"/>
    <w:link w:val="BalloonText"/>
    <w:qFormat/>
    <w:rPr>
      <w:rFonts w:ascii="Segoe UI" w:hAnsi="Segoe UI"/>
      <w:sz w:val="18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21" w:customStyle="1">
    <w:name w:val="Заголовок 2 Знак"/>
    <w:qFormat/>
    <w:rPr>
      <w:rFonts w:ascii="XO Thames" w:hAnsi="XO Thames"/>
      <w:b/>
      <w:sz w:val="28"/>
    </w:rPr>
  </w:style>
  <w:style w:type="character" w:styleId="Strong">
    <w:name w:val="Strong"/>
    <w:qFormat/>
    <w:rPr>
      <w:b/>
      <w:bCs/>
    </w:rPr>
  </w:style>
  <w:style w:type="character" w:styleId="Style15" w:customStyle="1">
    <w:name w:val="Нормальный"/>
    <w:qFormat/>
    <w:rPr/>
  </w:style>
  <w:style w:type="character" w:styleId="Emphasis">
    <w:name w:val="Emphasis"/>
    <w:qFormat/>
    <w:rPr>
      <w:i/>
      <w:iCs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next w:val="BodyText"/>
    <w:link w:val="Style13"/>
    <w:uiPriority w:val="10"/>
    <w:qFormat/>
    <w:pPr>
      <w:widowControl/>
      <w:suppressAutoHyphens w:val="true"/>
      <w:bidi w:val="0"/>
      <w:spacing w:lineRule="auto" w:line="264"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TOC2">
    <w:name w:val="TOC 2"/>
    <w:next w:val="Normal"/>
    <w:link w:val="2"/>
    <w:uiPriority w:val="39"/>
    <w:pPr>
      <w:widowControl/>
      <w:suppressAutoHyphens w:val="true"/>
      <w:bidi w:val="0"/>
      <w:spacing w:lineRule="auto" w:line="264" w:before="0" w:after="160"/>
      <w:ind w:left="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next w:val="Normal"/>
    <w:link w:val="4"/>
    <w:uiPriority w:val="39"/>
    <w:pPr>
      <w:widowControl/>
      <w:suppressAutoHyphens w:val="true"/>
      <w:bidi w:val="0"/>
      <w:spacing w:lineRule="auto" w:line="264" w:before="0" w:after="160"/>
      <w:ind w:left="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18" w:customStyle="1">
    <w:name w:val="Колонтитул"/>
    <w:qFormat/>
    <w:pPr>
      <w:widowControl/>
      <w:suppressAutoHyphens w:val="true"/>
      <w:bidi w:val="0"/>
      <w:spacing w:before="0" w:after="160"/>
      <w:jc w:val="both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Header">
    <w:name w:val="Header"/>
    <w:basedOn w:val="Normal"/>
    <w:link w:val="Style9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TOC6">
    <w:name w:val="TOC 6"/>
    <w:next w:val="Normal"/>
    <w:link w:val="6"/>
    <w:uiPriority w:val="39"/>
    <w:pPr>
      <w:widowControl/>
      <w:suppressAutoHyphens w:val="true"/>
      <w:bidi w:val="0"/>
      <w:spacing w:lineRule="auto" w:line="264" w:before="0" w:after="160"/>
      <w:ind w:left="10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next w:val="Normal"/>
    <w:link w:val="7"/>
    <w:uiPriority w:val="39"/>
    <w:pPr>
      <w:widowControl/>
      <w:suppressAutoHyphens w:val="true"/>
      <w:bidi w:val="0"/>
      <w:spacing w:lineRule="auto" w:line="264" w:before="0" w:after="160"/>
      <w:ind w:left="1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PlainText">
    <w:name w:val="Plain Text"/>
    <w:basedOn w:val="Normal"/>
    <w:link w:val="Style10"/>
    <w:qFormat/>
    <w:pPr>
      <w:spacing w:lineRule="auto" w:line="240" w:before="0" w:after="0"/>
    </w:pPr>
    <w:rPr>
      <w:rFonts w:ascii="Calibri" w:hAnsi="Calibri"/>
    </w:rPr>
  </w:style>
  <w:style w:type="paragraph" w:styleId="TOC3">
    <w:name w:val="TOC 3"/>
    <w:next w:val="Normal"/>
    <w:link w:val="31"/>
    <w:uiPriority w:val="39"/>
    <w:pPr>
      <w:widowControl/>
      <w:suppressAutoHyphens w:val="true"/>
      <w:bidi w:val="0"/>
      <w:spacing w:lineRule="auto" w:line="264" w:before="0" w:after="160"/>
      <w:ind w:left="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3" w:customStyle="1">
    <w:name w:val="Гиперссылка1"/>
    <w:basedOn w:val="14"/>
    <w:qFormat/>
    <w:pPr/>
    <w:rPr>
      <w:color w:themeColor="hyperlink" w:val="0563C1"/>
      <w:u w:val="single"/>
    </w:rPr>
  </w:style>
  <w:style w:type="paragraph" w:styleId="Footnote1" w:customStyle="1">
    <w:name w:val="Footnote1"/>
    <w:link w:val="Footnote"/>
    <w:qFormat/>
    <w:pPr>
      <w:widowControl/>
      <w:suppressAutoHyphens w:val="true"/>
      <w:bidi w:val="0"/>
      <w:spacing w:lineRule="auto" w:line="264" w:before="0" w:after="16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next w:val="Normal"/>
    <w:link w:val="12"/>
    <w:uiPriority w:val="39"/>
    <w:pPr>
      <w:widowControl/>
      <w:suppressAutoHyphens w:val="true"/>
      <w:bidi w:val="0"/>
      <w:spacing w:lineRule="auto" w:line="264" w:before="0" w:after="16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Основной шрифт абзаца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TOC9">
    <w:name w:val="TOC 9"/>
    <w:next w:val="Normal"/>
    <w:link w:val="9"/>
    <w:uiPriority w:val="39"/>
    <w:pPr>
      <w:widowControl/>
      <w:suppressAutoHyphens w:val="true"/>
      <w:bidi w:val="0"/>
      <w:spacing w:lineRule="auto" w:line="264" w:before="0" w:after="160"/>
      <w:ind w:left="1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8">
    <w:name w:val="TOC 8"/>
    <w:next w:val="Normal"/>
    <w:link w:val="8"/>
    <w:uiPriority w:val="39"/>
    <w:pPr>
      <w:widowControl/>
      <w:suppressAutoHyphens w:val="true"/>
      <w:bidi w:val="0"/>
      <w:spacing w:lineRule="auto" w:line="264" w:before="0" w:after="160"/>
      <w:ind w:left="1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5">
    <w:name w:val="TOC 5"/>
    <w:next w:val="Normal"/>
    <w:link w:val="51"/>
    <w:uiPriority w:val="39"/>
    <w:pPr>
      <w:widowControl/>
      <w:suppressAutoHyphens w:val="true"/>
      <w:bidi w:val="0"/>
      <w:spacing w:lineRule="auto" w:line="264" w:before="0" w:after="160"/>
      <w:ind w:left="8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ubtitle">
    <w:name w:val="Subtitle"/>
    <w:next w:val="Normal"/>
    <w:link w:val="Style11"/>
    <w:uiPriority w:val="11"/>
    <w:qFormat/>
    <w:pPr>
      <w:widowControl/>
      <w:suppressAutoHyphens w:val="true"/>
      <w:bidi w:val="0"/>
      <w:spacing w:lineRule="auto" w:line="264" w:before="0" w:after="16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Footer">
    <w:name w:val="Footer"/>
    <w:basedOn w:val="Normal"/>
    <w:link w:val="Style1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BalloonText">
    <w:name w:val="Balloon Text"/>
    <w:basedOn w:val="Normal"/>
    <w:link w:val="Style14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Caption111" w:customStyle="1">
    <w:name w:val="caption111"/>
    <w:basedOn w:val="Normal"/>
    <w:qFormat/>
    <w:pPr>
      <w:spacing w:before="120" w:after="120"/>
    </w:pPr>
    <w:rPr>
      <w:i/>
      <w:sz w:val="24"/>
    </w:rPr>
  </w:style>
  <w:style w:type="paragraph" w:styleId="Default1" w:customStyle="1">
    <w:name w:val="Default1"/>
    <w:qFormat/>
    <w:pPr>
      <w:widowControl/>
      <w:suppressAutoHyphens w:val="true"/>
      <w:bidi w:val="0"/>
      <w:spacing w:lineRule="auto" w:line="264" w:before="0" w:after="0"/>
      <w:jc w:val="left"/>
    </w:pPr>
    <w:rPr>
      <w:rFonts w:ascii="Arial" w:hAnsi="Arial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ConsPlusNormal1" w:customStyle="1">
    <w:name w:val="ConsPlusNormal1"/>
    <w:qFormat/>
    <w:pPr>
      <w:widowControl w:val="false"/>
      <w:suppressAutoHyphens w:val="true"/>
      <w:bidi w:val="0"/>
      <w:spacing w:lineRule="auto" w:line="264" w:before="0" w:after="0"/>
      <w:jc w:val="left"/>
    </w:pPr>
    <w:rPr>
      <w:rFonts w:ascii="Arial" w:hAnsi="Arial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Style1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0" w:customStyle="1">
    <w:name w:val="Заголовок таблицы"/>
    <w:basedOn w:val="Style19"/>
    <w:qFormat/>
    <w:pPr>
      <w:jc w:val="center"/>
    </w:pPr>
    <w:rPr>
      <w:b/>
      <w:bCs/>
    </w:rPr>
  </w:style>
  <w:style w:type="paragraph" w:styleId="15" w:customStyle="1">
    <w:name w:val="Нормальный1"/>
    <w:basedOn w:val="Normal"/>
    <w:qFormat/>
    <w:pPr/>
    <w:rPr/>
  </w:style>
  <w:style w:type="paragraph" w:styleId="111" w:customStyle="1">
    <w:name w:val="Нормальный11"/>
    <w:basedOn w:val="Normal"/>
    <w:qFormat/>
    <w:pPr/>
    <w:rPr/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" w:cs="Calibri" w:eastAsiaTheme="minorEastAsia"/>
      <w:color w:val="000000"/>
      <w:kern w:val="0"/>
      <w:sz w:val="22"/>
      <w:szCs w:val="20"/>
      <w:lang w:val="ru-RU" w:eastAsia="ru-RU" w:bidi="ar-SA"/>
    </w:rPr>
  </w:style>
  <w:style w:type="paragraph" w:styleId="22" w:customStyle="1">
    <w:name w:val="Нормальный2"/>
    <w:basedOn w:val="Normal"/>
    <w:qFormat/>
    <w:pPr/>
    <w:rPr/>
  </w:style>
  <w:style w:type="paragraph" w:styleId="32" w:customStyle="1">
    <w:name w:val="Нормальный3"/>
    <w:basedOn w:val="Normal"/>
    <w:qFormat/>
    <w:pPr/>
    <w:rPr/>
  </w:style>
  <w:style w:type="paragraph" w:styleId="42" w:customStyle="1">
    <w:name w:val="Нормальный4"/>
    <w:basedOn w:val="Normal"/>
    <w:qFormat/>
    <w:pPr/>
    <w:rPr/>
  </w:style>
  <w:style w:type="paragraph" w:styleId="52" w:customStyle="1">
    <w:name w:val="Нормальный5"/>
    <w:basedOn w:val="Normal"/>
    <w:qFormat/>
    <w:pPr/>
    <w:rPr/>
  </w:style>
  <w:style w:type="paragraph" w:styleId="Default">
    <w:name w:val="Default"/>
    <w:qFormat/>
    <w:pPr>
      <w:keepNext w:val="false"/>
      <w:keepLines w:val="false"/>
      <w:pageBreakBefore w:val="false"/>
      <w:widowControl/>
      <w:suppressAutoHyphens w:val="true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Arial" w:hAnsi="Arial"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spacing w:val="0"/>
      <w:kern w:val="0"/>
      <w:sz w:val="24"/>
      <w:szCs w:val="20"/>
      <w:u w:val="none"/>
      <w:lang w:val="ru-RU" w:eastAsia="ru-RU" w:bidi="ar-SA"/>
    </w:rPr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7">
    <w:name w:val="Сетка таблицы1"/>
    <w:basedOn w:val="a1"/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4">
    <w:name w:val="Сетка таблицы2"/>
    <w:basedOn w:val="a1"/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header" Target="header7.xml"/><Relationship Id="rId10" Type="http://schemas.openxmlformats.org/officeDocument/2006/relationships/header" Target="header8.xml"/><Relationship Id="rId11" Type="http://schemas.openxmlformats.org/officeDocument/2006/relationships/header" Target="header9.xml"/><Relationship Id="rId12" Type="http://schemas.openxmlformats.org/officeDocument/2006/relationships/header" Target="header10.xml"/><Relationship Id="rId13" Type="http://schemas.openxmlformats.org/officeDocument/2006/relationships/header" Target="header11.xml"/><Relationship Id="rId14" Type="http://schemas.openxmlformats.org/officeDocument/2006/relationships/header" Target="header12.xml"/><Relationship Id="rId15" Type="http://schemas.openxmlformats.org/officeDocument/2006/relationships/header" Target="header13.xml"/><Relationship Id="rId16" Type="http://schemas.openxmlformats.org/officeDocument/2006/relationships/header" Target="header14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4144</TotalTime>
  <Application>LibreOffice/7.6.7.2$Linux_X86_64 LibreOffice_project/60$Build-2</Application>
  <AppVersion>15.0000</AppVersion>
  <Pages>19</Pages>
  <Words>4478</Words>
  <Characters>28308</Characters>
  <CharactersWithSpaces>31803</CharactersWithSpaces>
  <Paragraphs>955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2025-10-15T01:03:00Z</dcterms:created>
  <dc:creator>Лосев Дмитрий Игоревич</dc:creator>
  <dc:description/>
  <dc:language>ru-RU</dc:language>
  <cp:lastModifiedBy/>
  <cp:lastPrinted>2026-07-23T11:15:16Z</cp:lastPrinted>
  <dcterms:modified xsi:type="dcterms:W3CDTF">2026-08-10T16:34:10Z</dcterms:modified>
  <cp:revision>139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